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50484CF9"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493F06">
        <w:rPr>
          <w:rFonts w:ascii="Arial" w:hAnsi="Arial" w:cs="Arial"/>
          <w:b/>
          <w:bCs/>
        </w:rPr>
        <w:t>057 Fire Appliance Availability</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7AAAEE82" w14:textId="77777777" w:rsidR="00D1282C" w:rsidRPr="00D1282C" w:rsidRDefault="00D1282C" w:rsidP="00D1282C">
      <w:pPr>
        <w:pStyle w:val="PlainText"/>
        <w:rPr>
          <w:rFonts w:ascii="Arial" w:hAnsi="Arial" w:cs="Arial"/>
          <w:b/>
          <w:bCs/>
        </w:rPr>
      </w:pPr>
    </w:p>
    <w:p w14:paraId="055F3337" w14:textId="77777777" w:rsidR="00493F06" w:rsidRPr="00493F06" w:rsidRDefault="00493F06" w:rsidP="00493F06">
      <w:pPr>
        <w:pStyle w:val="PlainText"/>
        <w:rPr>
          <w:rFonts w:ascii="Arial" w:hAnsi="Arial" w:cs="Arial"/>
        </w:rPr>
      </w:pPr>
      <w:r w:rsidRPr="00493F06">
        <w:rPr>
          <w:rFonts w:ascii="Arial" w:hAnsi="Arial" w:cs="Arial"/>
        </w:rPr>
        <w:t>Please share details of the </w:t>
      </w:r>
      <w:r w:rsidRPr="00493F06">
        <w:rPr>
          <w:rFonts w:ascii="Arial" w:hAnsi="Arial" w:cs="Arial"/>
          <w:b/>
          <w:bCs/>
        </w:rPr>
        <w:t>Retained/On-Call fire appliances availability over the most recent 12-month period</w:t>
      </w:r>
      <w:r w:rsidRPr="00493F06">
        <w:rPr>
          <w:rFonts w:ascii="Arial" w:hAnsi="Arial" w:cs="Arial"/>
        </w:rPr>
        <w:t>, stipulating the amount of time these appliances were ‘off the run’ (unavailable) to respond to an emergency.</w:t>
      </w:r>
    </w:p>
    <w:p w14:paraId="303C8738" w14:textId="77777777" w:rsidR="00493F06" w:rsidRPr="00493F06" w:rsidRDefault="00493F06" w:rsidP="00493F06">
      <w:pPr>
        <w:pStyle w:val="PlainText"/>
        <w:rPr>
          <w:rFonts w:ascii="Arial" w:hAnsi="Arial" w:cs="Arial"/>
        </w:rPr>
      </w:pPr>
      <w:r w:rsidRPr="00493F06">
        <w:rPr>
          <w:rFonts w:ascii="Arial" w:hAnsi="Arial" w:cs="Arial"/>
        </w:rPr>
        <w:t>I would like these details to be broken down on a station-by-station basis into:</w:t>
      </w:r>
    </w:p>
    <w:p w14:paraId="1D1C38B3" w14:textId="77777777" w:rsidR="00493F06" w:rsidRPr="00493F06" w:rsidRDefault="00493F06" w:rsidP="00493F06">
      <w:pPr>
        <w:pStyle w:val="PlainText"/>
        <w:rPr>
          <w:rFonts w:ascii="Arial" w:hAnsi="Arial" w:cs="Arial"/>
        </w:rPr>
      </w:pPr>
    </w:p>
    <w:p w14:paraId="5EB7FE32" w14:textId="77777777" w:rsidR="00493F06" w:rsidRPr="00493F06" w:rsidRDefault="00493F06" w:rsidP="00493F06">
      <w:pPr>
        <w:pStyle w:val="PlainText"/>
        <w:numPr>
          <w:ilvl w:val="0"/>
          <w:numId w:val="35"/>
        </w:numPr>
        <w:rPr>
          <w:rFonts w:ascii="Arial" w:hAnsi="Arial" w:cs="Arial"/>
        </w:rPr>
      </w:pPr>
      <w:r w:rsidRPr="00493F06">
        <w:rPr>
          <w:rFonts w:ascii="Arial" w:hAnsi="Arial" w:cs="Arial"/>
        </w:rPr>
        <w:t>The number of</w:t>
      </w:r>
      <w:r w:rsidRPr="00493F06">
        <w:rPr>
          <w:rFonts w:ascii="Arial" w:hAnsi="Arial" w:cs="Arial"/>
          <w:b/>
          <w:bCs/>
        </w:rPr>
        <w:t> hours per month</w:t>
      </w:r>
      <w:r w:rsidRPr="00493F06">
        <w:rPr>
          <w:rFonts w:ascii="Arial" w:hAnsi="Arial" w:cs="Arial"/>
        </w:rPr>
        <w:t> that an appliance was unavailable</w:t>
      </w:r>
    </w:p>
    <w:p w14:paraId="539FB5D4" w14:textId="77777777" w:rsidR="00493F06" w:rsidRPr="00493F06" w:rsidRDefault="00493F06" w:rsidP="00493F06">
      <w:pPr>
        <w:pStyle w:val="PlainText"/>
        <w:rPr>
          <w:rFonts w:ascii="Arial" w:hAnsi="Arial" w:cs="Arial"/>
        </w:rPr>
      </w:pPr>
    </w:p>
    <w:p w14:paraId="310F74E9" w14:textId="77777777" w:rsidR="00493F06" w:rsidRPr="00493F06" w:rsidRDefault="00493F06" w:rsidP="00493F06">
      <w:pPr>
        <w:pStyle w:val="PlainText"/>
        <w:numPr>
          <w:ilvl w:val="0"/>
          <w:numId w:val="35"/>
        </w:numPr>
        <w:rPr>
          <w:rFonts w:ascii="Arial" w:hAnsi="Arial" w:cs="Arial"/>
        </w:rPr>
      </w:pPr>
      <w:r w:rsidRPr="00493F06">
        <w:rPr>
          <w:rFonts w:ascii="Arial" w:hAnsi="Arial" w:cs="Arial"/>
        </w:rPr>
        <w:t>The </w:t>
      </w:r>
      <w:r w:rsidRPr="00493F06">
        <w:rPr>
          <w:rFonts w:ascii="Arial" w:hAnsi="Arial" w:cs="Arial"/>
          <w:b/>
          <w:bCs/>
        </w:rPr>
        <w:t>percentage of time per month</w:t>
      </w:r>
      <w:r w:rsidRPr="00493F06">
        <w:rPr>
          <w:rFonts w:ascii="Arial" w:hAnsi="Arial" w:cs="Arial"/>
        </w:rPr>
        <w:t> that an appliance was unavailable</w:t>
      </w:r>
    </w:p>
    <w:p w14:paraId="3904E1E4" w14:textId="77777777" w:rsidR="00493F06" w:rsidRPr="00493F06" w:rsidRDefault="00493F06" w:rsidP="00493F06">
      <w:pPr>
        <w:pStyle w:val="PlainText"/>
        <w:numPr>
          <w:ilvl w:val="0"/>
          <w:numId w:val="35"/>
        </w:numPr>
        <w:rPr>
          <w:rFonts w:ascii="Arial" w:hAnsi="Arial" w:cs="Arial"/>
        </w:rPr>
      </w:pPr>
    </w:p>
    <w:p w14:paraId="0B5ABA1A" w14:textId="77777777" w:rsidR="00493F06" w:rsidRPr="00493F06" w:rsidRDefault="00493F06" w:rsidP="00493F06">
      <w:pPr>
        <w:pStyle w:val="PlainText"/>
        <w:rPr>
          <w:rFonts w:ascii="Arial" w:hAnsi="Arial" w:cs="Arial"/>
        </w:rPr>
      </w:pPr>
      <w:r w:rsidRPr="00493F06">
        <w:rPr>
          <w:rFonts w:ascii="Arial" w:hAnsi="Arial" w:cs="Arial"/>
        </w:rPr>
        <w:t>Ideally, the information would be shared in an excel spreadsheet, with tabs for both, per the below:</w:t>
      </w:r>
    </w:p>
    <w:p w14:paraId="32A23BDB" w14:textId="77777777" w:rsidR="00493F06" w:rsidRPr="00493F06" w:rsidRDefault="00493F06" w:rsidP="00493F06">
      <w:pPr>
        <w:pStyle w:val="PlainText"/>
        <w:rPr>
          <w:rFonts w:ascii="Arial" w:hAnsi="Arial" w:cs="Arial"/>
        </w:rPr>
      </w:pPr>
    </w:p>
    <w:p w14:paraId="14DF142E" w14:textId="77777777" w:rsidR="00493F06" w:rsidRPr="00493F06" w:rsidRDefault="00493F06" w:rsidP="00493F06">
      <w:pPr>
        <w:pStyle w:val="PlainText"/>
        <w:rPr>
          <w:rFonts w:ascii="Arial" w:hAnsi="Arial" w:cs="Arial"/>
        </w:rPr>
      </w:pPr>
      <w:r w:rsidRPr="00493F06">
        <w:rPr>
          <w:rFonts w:ascii="Arial" w:hAnsi="Arial" w:cs="Arial"/>
          <w:b/>
          <w:bCs/>
        </w:rPr>
        <w:t>Percentage of fire appliances unavailable between July 2025 – July 2026</w:t>
      </w:r>
    </w:p>
    <w:tbl>
      <w:tblPr>
        <w:tblW w:w="0" w:type="auto"/>
        <w:tblCellMar>
          <w:left w:w="0" w:type="dxa"/>
          <w:right w:w="0" w:type="dxa"/>
        </w:tblCellMar>
        <w:tblLook w:val="04A0" w:firstRow="1" w:lastRow="0" w:firstColumn="1" w:lastColumn="0" w:noHBand="0" w:noVBand="1"/>
      </w:tblPr>
      <w:tblGrid>
        <w:gridCol w:w="867"/>
        <w:gridCol w:w="1339"/>
        <w:gridCol w:w="1339"/>
        <w:gridCol w:w="1348"/>
        <w:gridCol w:w="711"/>
        <w:gridCol w:w="677"/>
        <w:gridCol w:w="1062"/>
        <w:gridCol w:w="868"/>
      </w:tblGrid>
      <w:tr w:rsidR="00493F06" w:rsidRPr="00493F06" w14:paraId="5B597D05" w14:textId="77777777">
        <w:trPr>
          <w:trHeight w:val="953"/>
        </w:trPr>
        <w:tc>
          <w:tcPr>
            <w:tcW w:w="867" w:type="dxa"/>
            <w:tcBorders>
              <w:top w:val="single" w:sz="8" w:space="0" w:color="000000"/>
              <w:left w:val="single" w:sz="8" w:space="0" w:color="000000"/>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4D15F776" w14:textId="77777777" w:rsidR="00493F06" w:rsidRPr="00493F06" w:rsidRDefault="00493F06" w:rsidP="00493F06">
            <w:pPr>
              <w:pStyle w:val="PlainText"/>
              <w:rPr>
                <w:rFonts w:ascii="Arial" w:hAnsi="Arial" w:cs="Arial"/>
              </w:rPr>
            </w:pPr>
            <w:r w:rsidRPr="00493F06">
              <w:rPr>
                <w:rFonts w:ascii="Arial" w:hAnsi="Arial" w:cs="Arial"/>
              </w:rPr>
              <w:t>Call sign</w:t>
            </w:r>
          </w:p>
        </w:tc>
        <w:tc>
          <w:tcPr>
            <w:tcW w:w="1334"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5EC34008" w14:textId="77777777" w:rsidR="00493F06" w:rsidRPr="00493F06" w:rsidRDefault="00493F06" w:rsidP="00493F06">
            <w:pPr>
              <w:pStyle w:val="PlainText"/>
              <w:rPr>
                <w:rFonts w:ascii="Arial" w:hAnsi="Arial" w:cs="Arial"/>
              </w:rPr>
            </w:pPr>
            <w:r w:rsidRPr="00493F06">
              <w:rPr>
                <w:rFonts w:ascii="Arial" w:hAnsi="Arial" w:cs="Arial"/>
              </w:rPr>
              <w:t>July 2025</w:t>
            </w:r>
          </w:p>
        </w:tc>
        <w:tc>
          <w:tcPr>
            <w:tcW w:w="1309"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037C6EC4" w14:textId="77777777" w:rsidR="00493F06" w:rsidRPr="00493F06" w:rsidRDefault="00493F06" w:rsidP="00493F06">
            <w:pPr>
              <w:pStyle w:val="PlainText"/>
              <w:rPr>
                <w:rFonts w:ascii="Arial" w:hAnsi="Arial" w:cs="Arial"/>
              </w:rPr>
            </w:pPr>
            <w:r w:rsidRPr="00493F06">
              <w:rPr>
                <w:rFonts w:ascii="Arial" w:hAnsi="Arial" w:cs="Arial"/>
              </w:rPr>
              <w:t>August</w:t>
            </w:r>
          </w:p>
        </w:tc>
        <w:tc>
          <w:tcPr>
            <w:tcW w:w="1348"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57B21258" w14:textId="77777777" w:rsidR="00493F06" w:rsidRPr="00493F06" w:rsidRDefault="00493F06" w:rsidP="00493F06">
            <w:pPr>
              <w:pStyle w:val="PlainText"/>
              <w:rPr>
                <w:rFonts w:ascii="Arial" w:hAnsi="Arial" w:cs="Arial"/>
              </w:rPr>
            </w:pPr>
            <w:r w:rsidRPr="00493F06">
              <w:rPr>
                <w:rFonts w:ascii="Arial" w:hAnsi="Arial" w:cs="Arial"/>
              </w:rPr>
              <w:t>Sep  </w:t>
            </w:r>
          </w:p>
        </w:tc>
        <w:tc>
          <w:tcPr>
            <w:tcW w:w="711"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65769C33" w14:textId="77777777" w:rsidR="00493F06" w:rsidRPr="00493F06" w:rsidRDefault="00493F06" w:rsidP="00493F06">
            <w:pPr>
              <w:pStyle w:val="PlainText"/>
              <w:rPr>
                <w:rFonts w:ascii="Arial" w:hAnsi="Arial" w:cs="Arial"/>
              </w:rPr>
            </w:pPr>
            <w:r w:rsidRPr="00493F06">
              <w:rPr>
                <w:rFonts w:ascii="Arial" w:hAnsi="Arial" w:cs="Arial"/>
              </w:rPr>
              <w:t>Oct</w:t>
            </w:r>
          </w:p>
        </w:tc>
        <w:tc>
          <w:tcPr>
            <w:tcW w:w="677"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12532F64" w14:textId="77777777" w:rsidR="00493F06" w:rsidRPr="00493F06" w:rsidRDefault="00493F06" w:rsidP="00493F06">
            <w:pPr>
              <w:pStyle w:val="PlainText"/>
              <w:rPr>
                <w:rFonts w:ascii="Arial" w:hAnsi="Arial" w:cs="Arial"/>
              </w:rPr>
            </w:pPr>
            <w:r w:rsidRPr="00493F06">
              <w:rPr>
                <w:rFonts w:ascii="Arial" w:hAnsi="Arial" w:cs="Arial"/>
              </w:rPr>
              <w:t>Nov</w:t>
            </w:r>
          </w:p>
        </w:tc>
        <w:tc>
          <w:tcPr>
            <w:tcW w:w="1062"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1C4DC128" w14:textId="77777777" w:rsidR="00493F06" w:rsidRPr="00493F06" w:rsidRDefault="00493F06" w:rsidP="00493F06">
            <w:pPr>
              <w:pStyle w:val="PlainText"/>
              <w:rPr>
                <w:rFonts w:ascii="Arial" w:hAnsi="Arial" w:cs="Arial"/>
              </w:rPr>
            </w:pPr>
            <w:r w:rsidRPr="00493F06">
              <w:rPr>
                <w:rFonts w:ascii="Arial" w:hAnsi="Arial" w:cs="Arial"/>
              </w:rPr>
              <w:t>Dec</w:t>
            </w:r>
          </w:p>
        </w:tc>
        <w:tc>
          <w:tcPr>
            <w:tcW w:w="868"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6DF7ED5A" w14:textId="77777777" w:rsidR="00493F06" w:rsidRPr="00493F06" w:rsidRDefault="00493F06" w:rsidP="00493F06">
            <w:pPr>
              <w:pStyle w:val="PlainText"/>
              <w:rPr>
                <w:rFonts w:ascii="Arial" w:hAnsi="Arial" w:cs="Arial"/>
              </w:rPr>
            </w:pPr>
            <w:r w:rsidRPr="00493F06">
              <w:rPr>
                <w:rFonts w:ascii="Arial" w:hAnsi="Arial" w:cs="Arial"/>
              </w:rPr>
              <w:t>Jan 2026 Etc</w:t>
            </w:r>
          </w:p>
        </w:tc>
      </w:tr>
      <w:tr w:rsidR="00493F06" w:rsidRPr="00493F06" w14:paraId="55F61344" w14:textId="77777777">
        <w:trPr>
          <w:trHeight w:val="1407"/>
        </w:trPr>
        <w:tc>
          <w:tcPr>
            <w:tcW w:w="867" w:type="dxa"/>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14:paraId="131E153E" w14:textId="77777777" w:rsidR="00493F06" w:rsidRPr="00493F06" w:rsidRDefault="00493F06" w:rsidP="00493F06">
            <w:pPr>
              <w:pStyle w:val="PlainText"/>
              <w:rPr>
                <w:rFonts w:ascii="Arial" w:hAnsi="Arial" w:cs="Arial"/>
              </w:rPr>
            </w:pPr>
            <w:r w:rsidRPr="00493F06">
              <w:rPr>
                <w:rFonts w:ascii="Arial" w:hAnsi="Arial" w:cs="Arial"/>
              </w:rPr>
              <w:t>XX  </w:t>
            </w:r>
          </w:p>
        </w:tc>
        <w:tc>
          <w:tcPr>
            <w:tcW w:w="1334" w:type="dxa"/>
            <w:tcBorders>
              <w:top w:val="nil"/>
              <w:left w:val="nil"/>
              <w:bottom w:val="single" w:sz="8" w:space="0" w:color="000000"/>
              <w:right w:val="single" w:sz="8" w:space="0" w:color="000000"/>
            </w:tcBorders>
            <w:tcMar>
              <w:top w:w="15" w:type="dxa"/>
              <w:left w:w="15" w:type="dxa"/>
              <w:bottom w:w="15" w:type="dxa"/>
              <w:right w:w="15" w:type="dxa"/>
            </w:tcMar>
            <w:hideMark/>
          </w:tcPr>
          <w:p w14:paraId="042198A2" w14:textId="77777777" w:rsidR="00493F06" w:rsidRPr="00493F06" w:rsidRDefault="00493F06" w:rsidP="00493F06">
            <w:pPr>
              <w:pStyle w:val="PlainText"/>
              <w:rPr>
                <w:rFonts w:ascii="Arial" w:hAnsi="Arial" w:cs="Arial"/>
              </w:rPr>
            </w:pPr>
            <w:r w:rsidRPr="00493F06">
              <w:rPr>
                <w:rFonts w:ascii="Arial" w:hAnsi="Arial" w:cs="Arial"/>
              </w:rPr>
              <w:t>%unavailable</w:t>
            </w:r>
          </w:p>
          <w:p w14:paraId="17E93FAB" w14:textId="77777777" w:rsidR="00493F06" w:rsidRPr="00493F06" w:rsidRDefault="00493F06" w:rsidP="00493F06">
            <w:pPr>
              <w:pStyle w:val="PlainText"/>
              <w:rPr>
                <w:rFonts w:ascii="Arial" w:hAnsi="Arial" w:cs="Arial"/>
              </w:rPr>
            </w:pPr>
            <w:r w:rsidRPr="00493F06">
              <w:rPr>
                <w:rFonts w:ascii="Arial" w:hAnsi="Arial" w:cs="Arial"/>
              </w:rPr>
              <w:t> </w:t>
            </w:r>
          </w:p>
        </w:tc>
        <w:tc>
          <w:tcPr>
            <w:tcW w:w="1309" w:type="dxa"/>
            <w:tcBorders>
              <w:top w:val="nil"/>
              <w:left w:val="nil"/>
              <w:bottom w:val="single" w:sz="8" w:space="0" w:color="000000"/>
              <w:right w:val="single" w:sz="8" w:space="0" w:color="000000"/>
            </w:tcBorders>
            <w:tcMar>
              <w:top w:w="15" w:type="dxa"/>
              <w:left w:w="15" w:type="dxa"/>
              <w:bottom w:w="15" w:type="dxa"/>
              <w:right w:w="15" w:type="dxa"/>
            </w:tcMar>
            <w:hideMark/>
          </w:tcPr>
          <w:p w14:paraId="6A3C3B2A" w14:textId="77777777" w:rsidR="00493F06" w:rsidRPr="00493F06" w:rsidRDefault="00493F06" w:rsidP="00493F06">
            <w:pPr>
              <w:pStyle w:val="PlainText"/>
              <w:rPr>
                <w:rFonts w:ascii="Arial" w:hAnsi="Arial" w:cs="Arial"/>
              </w:rPr>
            </w:pPr>
            <w:r w:rsidRPr="00493F06">
              <w:rPr>
                <w:rFonts w:ascii="Arial" w:hAnsi="Arial" w:cs="Arial"/>
              </w:rPr>
              <w:t>%unavailable</w:t>
            </w:r>
          </w:p>
          <w:p w14:paraId="23B6B55E" w14:textId="77777777" w:rsidR="00493F06" w:rsidRPr="00493F06" w:rsidRDefault="00493F06" w:rsidP="00493F06">
            <w:pPr>
              <w:pStyle w:val="PlainText"/>
              <w:rPr>
                <w:rFonts w:ascii="Arial" w:hAnsi="Arial" w:cs="Arial"/>
              </w:rPr>
            </w:pPr>
            <w:r w:rsidRPr="00493F06">
              <w:rPr>
                <w:rFonts w:ascii="Arial" w:hAnsi="Arial" w:cs="Arial"/>
              </w:rPr>
              <w:t> </w:t>
            </w:r>
          </w:p>
        </w:tc>
        <w:tc>
          <w:tcPr>
            <w:tcW w:w="1348" w:type="dxa"/>
            <w:tcBorders>
              <w:top w:val="nil"/>
              <w:left w:val="nil"/>
              <w:bottom w:val="single" w:sz="8" w:space="0" w:color="000000"/>
              <w:right w:val="single" w:sz="8" w:space="0" w:color="000000"/>
            </w:tcBorders>
            <w:tcMar>
              <w:top w:w="15" w:type="dxa"/>
              <w:left w:w="15" w:type="dxa"/>
              <w:bottom w:w="15" w:type="dxa"/>
              <w:right w:w="15" w:type="dxa"/>
            </w:tcMar>
            <w:hideMark/>
          </w:tcPr>
          <w:p w14:paraId="33589B56" w14:textId="77777777" w:rsidR="00493F06" w:rsidRPr="00493F06" w:rsidRDefault="00493F06" w:rsidP="00493F06">
            <w:pPr>
              <w:pStyle w:val="PlainText"/>
              <w:rPr>
                <w:rFonts w:ascii="Arial" w:hAnsi="Arial" w:cs="Arial"/>
              </w:rPr>
            </w:pPr>
            <w:r w:rsidRPr="00493F06">
              <w:rPr>
                <w:rFonts w:ascii="Arial" w:hAnsi="Arial" w:cs="Arial"/>
              </w:rPr>
              <w:t>% unavailable</w:t>
            </w:r>
          </w:p>
        </w:tc>
        <w:tc>
          <w:tcPr>
            <w:tcW w:w="711" w:type="dxa"/>
            <w:tcBorders>
              <w:top w:val="nil"/>
              <w:left w:val="nil"/>
              <w:bottom w:val="single" w:sz="8" w:space="0" w:color="000000"/>
              <w:right w:val="single" w:sz="8" w:space="0" w:color="000000"/>
            </w:tcBorders>
            <w:tcMar>
              <w:top w:w="15" w:type="dxa"/>
              <w:left w:w="15" w:type="dxa"/>
              <w:bottom w:w="15" w:type="dxa"/>
              <w:right w:w="15" w:type="dxa"/>
            </w:tcMar>
            <w:hideMark/>
          </w:tcPr>
          <w:p w14:paraId="694BF0F4" w14:textId="77777777" w:rsidR="00493F06" w:rsidRPr="00493F06" w:rsidRDefault="00493F06" w:rsidP="00493F06">
            <w:pPr>
              <w:pStyle w:val="PlainText"/>
              <w:rPr>
                <w:rFonts w:ascii="Arial" w:hAnsi="Arial" w:cs="Arial"/>
              </w:rPr>
            </w:pPr>
            <w:r w:rsidRPr="00493F06">
              <w:rPr>
                <w:rFonts w:ascii="Arial" w:hAnsi="Arial" w:cs="Arial"/>
              </w:rPr>
              <w:t>Etc</w:t>
            </w:r>
          </w:p>
        </w:tc>
        <w:tc>
          <w:tcPr>
            <w:tcW w:w="677" w:type="dxa"/>
            <w:tcBorders>
              <w:top w:val="nil"/>
              <w:left w:val="nil"/>
              <w:bottom w:val="single" w:sz="8" w:space="0" w:color="000000"/>
              <w:right w:val="single" w:sz="8" w:space="0" w:color="000000"/>
            </w:tcBorders>
            <w:tcMar>
              <w:top w:w="15" w:type="dxa"/>
              <w:left w:w="15" w:type="dxa"/>
              <w:bottom w:w="15" w:type="dxa"/>
              <w:right w:w="15" w:type="dxa"/>
            </w:tcMar>
            <w:hideMark/>
          </w:tcPr>
          <w:p w14:paraId="2167C21E" w14:textId="77777777" w:rsidR="00493F06" w:rsidRPr="00493F06" w:rsidRDefault="00493F06" w:rsidP="00493F06">
            <w:pPr>
              <w:pStyle w:val="PlainText"/>
              <w:rPr>
                <w:rFonts w:ascii="Arial" w:hAnsi="Arial" w:cs="Arial"/>
              </w:rPr>
            </w:pPr>
            <w:r w:rsidRPr="00493F06">
              <w:rPr>
                <w:rFonts w:ascii="Arial" w:hAnsi="Arial" w:cs="Arial"/>
              </w:rPr>
              <w:t>Etc</w:t>
            </w:r>
          </w:p>
        </w:tc>
        <w:tc>
          <w:tcPr>
            <w:tcW w:w="1062" w:type="dxa"/>
            <w:tcBorders>
              <w:top w:val="nil"/>
              <w:left w:val="nil"/>
              <w:bottom w:val="single" w:sz="8" w:space="0" w:color="000000"/>
              <w:right w:val="single" w:sz="8" w:space="0" w:color="000000"/>
            </w:tcBorders>
            <w:tcMar>
              <w:top w:w="15" w:type="dxa"/>
              <w:left w:w="15" w:type="dxa"/>
              <w:bottom w:w="15" w:type="dxa"/>
              <w:right w:w="15" w:type="dxa"/>
            </w:tcMar>
            <w:hideMark/>
          </w:tcPr>
          <w:p w14:paraId="248ECDF2" w14:textId="77777777" w:rsidR="00493F06" w:rsidRPr="00493F06" w:rsidRDefault="00493F06" w:rsidP="00493F06">
            <w:pPr>
              <w:pStyle w:val="PlainText"/>
              <w:rPr>
                <w:rFonts w:ascii="Arial" w:hAnsi="Arial" w:cs="Arial"/>
              </w:rPr>
            </w:pPr>
            <w:r w:rsidRPr="00493F06">
              <w:rPr>
                <w:rFonts w:ascii="Arial" w:hAnsi="Arial" w:cs="Arial"/>
              </w:rPr>
              <w:t>Etc</w:t>
            </w:r>
          </w:p>
        </w:tc>
        <w:tc>
          <w:tcPr>
            <w:tcW w:w="868" w:type="dxa"/>
            <w:tcBorders>
              <w:top w:val="nil"/>
              <w:left w:val="nil"/>
              <w:bottom w:val="single" w:sz="8" w:space="0" w:color="000000"/>
              <w:right w:val="single" w:sz="8" w:space="0" w:color="000000"/>
            </w:tcBorders>
            <w:tcMar>
              <w:top w:w="15" w:type="dxa"/>
              <w:left w:w="15" w:type="dxa"/>
              <w:bottom w:w="15" w:type="dxa"/>
              <w:right w:w="15" w:type="dxa"/>
            </w:tcMar>
            <w:hideMark/>
          </w:tcPr>
          <w:p w14:paraId="157F769D" w14:textId="77777777" w:rsidR="00493F06" w:rsidRPr="00493F06" w:rsidRDefault="00493F06" w:rsidP="00493F06">
            <w:pPr>
              <w:pStyle w:val="PlainText"/>
              <w:rPr>
                <w:rFonts w:ascii="Arial" w:hAnsi="Arial" w:cs="Arial"/>
              </w:rPr>
            </w:pPr>
            <w:r w:rsidRPr="00493F06">
              <w:rPr>
                <w:rFonts w:ascii="Arial" w:hAnsi="Arial" w:cs="Arial"/>
              </w:rPr>
              <w:t>Etc</w:t>
            </w:r>
          </w:p>
        </w:tc>
      </w:tr>
    </w:tbl>
    <w:p w14:paraId="5C4DF450" w14:textId="77777777" w:rsidR="00493F06" w:rsidRPr="00493F06" w:rsidRDefault="00493F06" w:rsidP="00493F06">
      <w:pPr>
        <w:pStyle w:val="PlainText"/>
        <w:rPr>
          <w:rFonts w:ascii="Arial" w:hAnsi="Arial" w:cs="Arial"/>
        </w:rPr>
      </w:pPr>
      <w:r w:rsidRPr="00493F06">
        <w:rPr>
          <w:rFonts w:ascii="Arial" w:hAnsi="Arial" w:cs="Arial"/>
        </w:rPr>
        <w:t> </w:t>
      </w:r>
    </w:p>
    <w:p w14:paraId="35A28E62" w14:textId="77777777" w:rsidR="00493F06" w:rsidRPr="00493F06" w:rsidRDefault="00493F06" w:rsidP="00493F06">
      <w:pPr>
        <w:pStyle w:val="PlainText"/>
        <w:rPr>
          <w:rFonts w:ascii="Arial" w:hAnsi="Arial" w:cs="Arial"/>
        </w:rPr>
      </w:pPr>
      <w:r w:rsidRPr="00493F06">
        <w:rPr>
          <w:rFonts w:ascii="Arial" w:hAnsi="Arial" w:cs="Arial"/>
          <w:b/>
          <w:bCs/>
        </w:rPr>
        <w:t>Hours fire appliances were unavailable between July 2025 – July 2026</w:t>
      </w:r>
    </w:p>
    <w:tbl>
      <w:tblPr>
        <w:tblW w:w="0" w:type="auto"/>
        <w:tblCellMar>
          <w:left w:w="0" w:type="dxa"/>
          <w:right w:w="0" w:type="dxa"/>
        </w:tblCellMar>
        <w:tblLook w:val="04A0" w:firstRow="1" w:lastRow="0" w:firstColumn="1" w:lastColumn="0" w:noHBand="0" w:noVBand="1"/>
      </w:tblPr>
      <w:tblGrid>
        <w:gridCol w:w="809"/>
        <w:gridCol w:w="1566"/>
        <w:gridCol w:w="1566"/>
        <w:gridCol w:w="1266"/>
        <w:gridCol w:w="675"/>
        <w:gridCol w:w="596"/>
        <w:gridCol w:w="851"/>
        <w:gridCol w:w="998"/>
      </w:tblGrid>
      <w:tr w:rsidR="00493F06" w:rsidRPr="00493F06" w14:paraId="2D6ECB7C" w14:textId="77777777">
        <w:trPr>
          <w:trHeight w:val="730"/>
        </w:trPr>
        <w:tc>
          <w:tcPr>
            <w:tcW w:w="809" w:type="dxa"/>
            <w:tcBorders>
              <w:top w:val="single" w:sz="8" w:space="0" w:color="000000"/>
              <w:left w:val="single" w:sz="8" w:space="0" w:color="000000"/>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383D1FF7" w14:textId="77777777" w:rsidR="00493F06" w:rsidRPr="00493F06" w:rsidRDefault="00493F06" w:rsidP="00493F06">
            <w:pPr>
              <w:pStyle w:val="PlainText"/>
              <w:rPr>
                <w:rFonts w:ascii="Arial" w:hAnsi="Arial" w:cs="Arial"/>
              </w:rPr>
            </w:pPr>
            <w:r w:rsidRPr="00493F06">
              <w:rPr>
                <w:rFonts w:ascii="Arial" w:hAnsi="Arial" w:cs="Arial"/>
              </w:rPr>
              <w:t>Call sign</w:t>
            </w:r>
          </w:p>
        </w:tc>
        <w:tc>
          <w:tcPr>
            <w:tcW w:w="1566"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1C0022D2" w14:textId="77777777" w:rsidR="00493F06" w:rsidRPr="00493F06" w:rsidRDefault="00493F06" w:rsidP="00493F06">
            <w:pPr>
              <w:pStyle w:val="PlainText"/>
              <w:rPr>
                <w:rFonts w:ascii="Arial" w:hAnsi="Arial" w:cs="Arial"/>
              </w:rPr>
            </w:pPr>
            <w:r w:rsidRPr="00493F06">
              <w:rPr>
                <w:rFonts w:ascii="Arial" w:hAnsi="Arial" w:cs="Arial"/>
              </w:rPr>
              <w:t>July 2025</w:t>
            </w:r>
          </w:p>
        </w:tc>
        <w:tc>
          <w:tcPr>
            <w:tcW w:w="1566"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4C448ED5" w14:textId="77777777" w:rsidR="00493F06" w:rsidRPr="00493F06" w:rsidRDefault="00493F06" w:rsidP="00493F06">
            <w:pPr>
              <w:pStyle w:val="PlainText"/>
              <w:rPr>
                <w:rFonts w:ascii="Arial" w:hAnsi="Arial" w:cs="Arial"/>
              </w:rPr>
            </w:pPr>
            <w:r w:rsidRPr="00493F06">
              <w:rPr>
                <w:rFonts w:ascii="Arial" w:hAnsi="Arial" w:cs="Arial"/>
              </w:rPr>
              <w:t>August</w:t>
            </w:r>
          </w:p>
        </w:tc>
        <w:tc>
          <w:tcPr>
            <w:tcW w:w="1266"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7D285239" w14:textId="77777777" w:rsidR="00493F06" w:rsidRPr="00493F06" w:rsidRDefault="00493F06" w:rsidP="00493F06">
            <w:pPr>
              <w:pStyle w:val="PlainText"/>
              <w:rPr>
                <w:rFonts w:ascii="Arial" w:hAnsi="Arial" w:cs="Arial"/>
              </w:rPr>
            </w:pPr>
            <w:r w:rsidRPr="00493F06">
              <w:rPr>
                <w:rFonts w:ascii="Arial" w:hAnsi="Arial" w:cs="Arial"/>
              </w:rPr>
              <w:t>Sep  </w:t>
            </w:r>
          </w:p>
        </w:tc>
        <w:tc>
          <w:tcPr>
            <w:tcW w:w="675"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0EE7548A" w14:textId="77777777" w:rsidR="00493F06" w:rsidRPr="00493F06" w:rsidRDefault="00493F06" w:rsidP="00493F06">
            <w:pPr>
              <w:pStyle w:val="PlainText"/>
              <w:rPr>
                <w:rFonts w:ascii="Arial" w:hAnsi="Arial" w:cs="Arial"/>
              </w:rPr>
            </w:pPr>
            <w:r w:rsidRPr="00493F06">
              <w:rPr>
                <w:rFonts w:ascii="Arial" w:hAnsi="Arial" w:cs="Arial"/>
              </w:rPr>
              <w:t>Oct</w:t>
            </w:r>
          </w:p>
        </w:tc>
        <w:tc>
          <w:tcPr>
            <w:tcW w:w="596"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5BA2E11D" w14:textId="77777777" w:rsidR="00493F06" w:rsidRPr="00493F06" w:rsidRDefault="00493F06" w:rsidP="00493F06">
            <w:pPr>
              <w:pStyle w:val="PlainText"/>
              <w:rPr>
                <w:rFonts w:ascii="Arial" w:hAnsi="Arial" w:cs="Arial"/>
              </w:rPr>
            </w:pPr>
            <w:r w:rsidRPr="00493F06">
              <w:rPr>
                <w:rFonts w:ascii="Arial" w:hAnsi="Arial" w:cs="Arial"/>
              </w:rPr>
              <w:t>Nov</w:t>
            </w:r>
          </w:p>
        </w:tc>
        <w:tc>
          <w:tcPr>
            <w:tcW w:w="851"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12A2EB1B" w14:textId="77777777" w:rsidR="00493F06" w:rsidRPr="00493F06" w:rsidRDefault="00493F06" w:rsidP="00493F06">
            <w:pPr>
              <w:pStyle w:val="PlainText"/>
              <w:rPr>
                <w:rFonts w:ascii="Arial" w:hAnsi="Arial" w:cs="Arial"/>
              </w:rPr>
            </w:pPr>
            <w:r w:rsidRPr="00493F06">
              <w:rPr>
                <w:rFonts w:ascii="Arial" w:hAnsi="Arial" w:cs="Arial"/>
              </w:rPr>
              <w:t>Dec</w:t>
            </w:r>
          </w:p>
        </w:tc>
        <w:tc>
          <w:tcPr>
            <w:tcW w:w="998" w:type="dxa"/>
            <w:tcBorders>
              <w:top w:val="single" w:sz="8" w:space="0" w:color="000000"/>
              <w:left w:val="nil"/>
              <w:bottom w:val="single" w:sz="8" w:space="0" w:color="000000"/>
              <w:right w:val="single" w:sz="8" w:space="0" w:color="000000"/>
            </w:tcBorders>
            <w:shd w:val="clear" w:color="auto" w:fill="CCCCCC"/>
            <w:tcMar>
              <w:top w:w="15" w:type="dxa"/>
              <w:left w:w="15" w:type="dxa"/>
              <w:bottom w:w="15" w:type="dxa"/>
              <w:right w:w="15" w:type="dxa"/>
            </w:tcMar>
            <w:vAlign w:val="center"/>
            <w:hideMark/>
          </w:tcPr>
          <w:p w14:paraId="0F222EEC" w14:textId="77777777" w:rsidR="00493F06" w:rsidRPr="00493F06" w:rsidRDefault="00493F06" w:rsidP="00493F06">
            <w:pPr>
              <w:pStyle w:val="PlainText"/>
              <w:rPr>
                <w:rFonts w:ascii="Arial" w:hAnsi="Arial" w:cs="Arial"/>
              </w:rPr>
            </w:pPr>
            <w:r w:rsidRPr="00493F06">
              <w:rPr>
                <w:rFonts w:ascii="Arial" w:hAnsi="Arial" w:cs="Arial"/>
              </w:rPr>
              <w:t>Jan2026 Etc</w:t>
            </w:r>
          </w:p>
        </w:tc>
      </w:tr>
      <w:tr w:rsidR="00493F06" w:rsidRPr="00493F06" w14:paraId="0C74D7C2" w14:textId="77777777">
        <w:trPr>
          <w:trHeight w:val="1173"/>
        </w:trPr>
        <w:tc>
          <w:tcPr>
            <w:tcW w:w="809" w:type="dxa"/>
            <w:tcBorders>
              <w:top w:val="nil"/>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E810CEC" w14:textId="77777777" w:rsidR="00493F06" w:rsidRPr="00493F06" w:rsidRDefault="00493F06" w:rsidP="00493F06">
            <w:pPr>
              <w:pStyle w:val="PlainText"/>
              <w:rPr>
                <w:rFonts w:ascii="Arial" w:hAnsi="Arial" w:cs="Arial"/>
              </w:rPr>
            </w:pPr>
            <w:r w:rsidRPr="00493F06">
              <w:rPr>
                <w:rFonts w:ascii="Arial" w:hAnsi="Arial" w:cs="Arial"/>
              </w:rPr>
              <w:t>XX  </w:t>
            </w:r>
          </w:p>
        </w:tc>
        <w:tc>
          <w:tcPr>
            <w:tcW w:w="1566" w:type="dxa"/>
            <w:tcBorders>
              <w:top w:val="nil"/>
              <w:left w:val="nil"/>
              <w:bottom w:val="single" w:sz="8" w:space="0" w:color="000000"/>
              <w:right w:val="single" w:sz="8" w:space="0" w:color="000000"/>
            </w:tcBorders>
            <w:tcMar>
              <w:top w:w="15" w:type="dxa"/>
              <w:left w:w="15" w:type="dxa"/>
              <w:bottom w:w="15" w:type="dxa"/>
              <w:right w:w="15" w:type="dxa"/>
            </w:tcMar>
            <w:hideMark/>
          </w:tcPr>
          <w:p w14:paraId="07D9680B" w14:textId="77777777" w:rsidR="00493F06" w:rsidRPr="00493F06" w:rsidRDefault="00493F06" w:rsidP="00493F06">
            <w:pPr>
              <w:pStyle w:val="PlainText"/>
              <w:rPr>
                <w:rFonts w:ascii="Arial" w:hAnsi="Arial" w:cs="Arial"/>
              </w:rPr>
            </w:pPr>
            <w:r w:rsidRPr="00493F06">
              <w:rPr>
                <w:rFonts w:ascii="Arial" w:hAnsi="Arial" w:cs="Arial"/>
              </w:rPr>
              <w:t>Hours unavailable</w:t>
            </w:r>
          </w:p>
          <w:p w14:paraId="3A792B37" w14:textId="77777777" w:rsidR="00493F06" w:rsidRPr="00493F06" w:rsidRDefault="00493F06" w:rsidP="00493F06">
            <w:pPr>
              <w:pStyle w:val="PlainText"/>
              <w:rPr>
                <w:rFonts w:ascii="Arial" w:hAnsi="Arial" w:cs="Arial"/>
              </w:rPr>
            </w:pPr>
            <w:r w:rsidRPr="00493F06">
              <w:rPr>
                <w:rFonts w:ascii="Arial" w:hAnsi="Arial" w:cs="Arial"/>
              </w:rPr>
              <w:t> </w:t>
            </w:r>
          </w:p>
        </w:tc>
        <w:tc>
          <w:tcPr>
            <w:tcW w:w="1566" w:type="dxa"/>
            <w:tcBorders>
              <w:top w:val="nil"/>
              <w:left w:val="nil"/>
              <w:bottom w:val="single" w:sz="8" w:space="0" w:color="000000"/>
              <w:right w:val="single" w:sz="8" w:space="0" w:color="000000"/>
            </w:tcBorders>
            <w:tcMar>
              <w:top w:w="15" w:type="dxa"/>
              <w:left w:w="15" w:type="dxa"/>
              <w:bottom w:w="15" w:type="dxa"/>
              <w:right w:w="15" w:type="dxa"/>
            </w:tcMar>
            <w:hideMark/>
          </w:tcPr>
          <w:p w14:paraId="557B9FD1" w14:textId="77777777" w:rsidR="00493F06" w:rsidRPr="00493F06" w:rsidRDefault="00493F06" w:rsidP="00493F06">
            <w:pPr>
              <w:pStyle w:val="PlainText"/>
              <w:rPr>
                <w:rFonts w:ascii="Arial" w:hAnsi="Arial" w:cs="Arial"/>
              </w:rPr>
            </w:pPr>
            <w:r w:rsidRPr="00493F06">
              <w:rPr>
                <w:rFonts w:ascii="Arial" w:hAnsi="Arial" w:cs="Arial"/>
              </w:rPr>
              <w:t>Hours unavailable</w:t>
            </w:r>
          </w:p>
          <w:p w14:paraId="02AEEFAB" w14:textId="77777777" w:rsidR="00493F06" w:rsidRPr="00493F06" w:rsidRDefault="00493F06" w:rsidP="00493F06">
            <w:pPr>
              <w:pStyle w:val="PlainText"/>
              <w:rPr>
                <w:rFonts w:ascii="Arial" w:hAnsi="Arial" w:cs="Arial"/>
              </w:rPr>
            </w:pPr>
            <w:r w:rsidRPr="00493F06">
              <w:rPr>
                <w:rFonts w:ascii="Arial" w:hAnsi="Arial" w:cs="Arial"/>
              </w:rPr>
              <w:t> </w:t>
            </w:r>
          </w:p>
        </w:tc>
        <w:tc>
          <w:tcPr>
            <w:tcW w:w="1266" w:type="dxa"/>
            <w:tcBorders>
              <w:top w:val="nil"/>
              <w:left w:val="nil"/>
              <w:bottom w:val="single" w:sz="8" w:space="0" w:color="000000"/>
              <w:right w:val="single" w:sz="8" w:space="0" w:color="000000"/>
            </w:tcBorders>
            <w:tcMar>
              <w:top w:w="15" w:type="dxa"/>
              <w:left w:w="15" w:type="dxa"/>
              <w:bottom w:w="15" w:type="dxa"/>
              <w:right w:w="15" w:type="dxa"/>
            </w:tcMar>
            <w:hideMark/>
          </w:tcPr>
          <w:p w14:paraId="0C2D2554" w14:textId="77777777" w:rsidR="00493F06" w:rsidRPr="00493F06" w:rsidRDefault="00493F06" w:rsidP="00493F06">
            <w:pPr>
              <w:pStyle w:val="PlainText"/>
              <w:rPr>
                <w:rFonts w:ascii="Arial" w:hAnsi="Arial" w:cs="Arial"/>
              </w:rPr>
            </w:pPr>
            <w:r w:rsidRPr="00493F06">
              <w:rPr>
                <w:rFonts w:ascii="Arial" w:hAnsi="Arial" w:cs="Arial"/>
              </w:rPr>
              <w:t>Hours unavailable</w:t>
            </w:r>
          </w:p>
        </w:tc>
        <w:tc>
          <w:tcPr>
            <w:tcW w:w="675" w:type="dxa"/>
            <w:tcBorders>
              <w:top w:val="nil"/>
              <w:left w:val="nil"/>
              <w:bottom w:val="single" w:sz="8" w:space="0" w:color="000000"/>
              <w:right w:val="single" w:sz="8" w:space="0" w:color="000000"/>
            </w:tcBorders>
            <w:tcMar>
              <w:top w:w="15" w:type="dxa"/>
              <w:left w:w="15" w:type="dxa"/>
              <w:bottom w:w="15" w:type="dxa"/>
              <w:right w:w="15" w:type="dxa"/>
            </w:tcMar>
            <w:hideMark/>
          </w:tcPr>
          <w:p w14:paraId="3AFDAF75" w14:textId="77777777" w:rsidR="00493F06" w:rsidRPr="00493F06" w:rsidRDefault="00493F06" w:rsidP="00493F06">
            <w:pPr>
              <w:pStyle w:val="PlainText"/>
              <w:rPr>
                <w:rFonts w:ascii="Arial" w:hAnsi="Arial" w:cs="Arial"/>
              </w:rPr>
            </w:pPr>
            <w:r w:rsidRPr="00493F06">
              <w:rPr>
                <w:rFonts w:ascii="Arial" w:hAnsi="Arial" w:cs="Arial"/>
              </w:rPr>
              <w:t>Etc</w:t>
            </w:r>
          </w:p>
        </w:tc>
        <w:tc>
          <w:tcPr>
            <w:tcW w:w="596" w:type="dxa"/>
            <w:tcBorders>
              <w:top w:val="nil"/>
              <w:left w:val="nil"/>
              <w:bottom w:val="single" w:sz="8" w:space="0" w:color="000000"/>
              <w:right w:val="single" w:sz="8" w:space="0" w:color="000000"/>
            </w:tcBorders>
            <w:tcMar>
              <w:top w:w="15" w:type="dxa"/>
              <w:left w:w="15" w:type="dxa"/>
              <w:bottom w:w="15" w:type="dxa"/>
              <w:right w:w="15" w:type="dxa"/>
            </w:tcMar>
            <w:hideMark/>
          </w:tcPr>
          <w:p w14:paraId="3140DEDB" w14:textId="77777777" w:rsidR="00493F06" w:rsidRPr="00493F06" w:rsidRDefault="00493F06" w:rsidP="00493F06">
            <w:pPr>
              <w:pStyle w:val="PlainText"/>
              <w:rPr>
                <w:rFonts w:ascii="Arial" w:hAnsi="Arial" w:cs="Arial"/>
              </w:rPr>
            </w:pPr>
            <w:r w:rsidRPr="00493F06">
              <w:rPr>
                <w:rFonts w:ascii="Arial" w:hAnsi="Arial" w:cs="Arial"/>
              </w:rPr>
              <w:t>Etc</w:t>
            </w:r>
          </w:p>
        </w:tc>
        <w:tc>
          <w:tcPr>
            <w:tcW w:w="851" w:type="dxa"/>
            <w:tcBorders>
              <w:top w:val="nil"/>
              <w:left w:val="nil"/>
              <w:bottom w:val="single" w:sz="8" w:space="0" w:color="000000"/>
              <w:right w:val="single" w:sz="8" w:space="0" w:color="000000"/>
            </w:tcBorders>
            <w:tcMar>
              <w:top w:w="15" w:type="dxa"/>
              <w:left w:w="15" w:type="dxa"/>
              <w:bottom w:w="15" w:type="dxa"/>
              <w:right w:w="15" w:type="dxa"/>
            </w:tcMar>
            <w:hideMark/>
          </w:tcPr>
          <w:p w14:paraId="20B24D6E" w14:textId="77777777" w:rsidR="00493F06" w:rsidRPr="00493F06" w:rsidRDefault="00493F06" w:rsidP="00493F06">
            <w:pPr>
              <w:pStyle w:val="PlainText"/>
              <w:rPr>
                <w:rFonts w:ascii="Arial" w:hAnsi="Arial" w:cs="Arial"/>
              </w:rPr>
            </w:pPr>
            <w:r w:rsidRPr="00493F06">
              <w:rPr>
                <w:rFonts w:ascii="Arial" w:hAnsi="Arial" w:cs="Arial"/>
              </w:rPr>
              <w:t>Etc</w:t>
            </w:r>
          </w:p>
        </w:tc>
        <w:tc>
          <w:tcPr>
            <w:tcW w:w="998" w:type="dxa"/>
            <w:tcBorders>
              <w:top w:val="nil"/>
              <w:left w:val="nil"/>
              <w:bottom w:val="single" w:sz="8" w:space="0" w:color="000000"/>
              <w:right w:val="single" w:sz="8" w:space="0" w:color="000000"/>
            </w:tcBorders>
            <w:tcMar>
              <w:top w:w="15" w:type="dxa"/>
              <w:left w:w="15" w:type="dxa"/>
              <w:bottom w:w="15" w:type="dxa"/>
              <w:right w:w="15" w:type="dxa"/>
            </w:tcMar>
            <w:hideMark/>
          </w:tcPr>
          <w:p w14:paraId="73512E94" w14:textId="77777777" w:rsidR="00493F06" w:rsidRPr="00493F06" w:rsidRDefault="00493F06" w:rsidP="00493F06">
            <w:pPr>
              <w:pStyle w:val="PlainText"/>
              <w:rPr>
                <w:rFonts w:ascii="Arial" w:hAnsi="Arial" w:cs="Arial"/>
              </w:rPr>
            </w:pPr>
            <w:r w:rsidRPr="00493F06">
              <w:rPr>
                <w:rFonts w:ascii="Arial" w:hAnsi="Arial" w:cs="Arial"/>
              </w:rPr>
              <w:t>Etc  </w:t>
            </w:r>
          </w:p>
        </w:tc>
      </w:tr>
    </w:tbl>
    <w:p w14:paraId="7985E7D8" w14:textId="77777777" w:rsidR="00493F06" w:rsidRPr="00493F06" w:rsidRDefault="00493F06" w:rsidP="00493F06">
      <w:pPr>
        <w:pStyle w:val="PlainText"/>
        <w:rPr>
          <w:rFonts w:ascii="Arial" w:hAnsi="Arial" w:cs="Arial"/>
        </w:rPr>
      </w:pPr>
    </w:p>
    <w:p w14:paraId="44783915" w14:textId="77777777" w:rsidR="00D1282C" w:rsidRPr="00D1282C" w:rsidRDefault="00D1282C" w:rsidP="00D1282C">
      <w:pPr>
        <w:pStyle w:val="PlainText"/>
        <w:rPr>
          <w:rFonts w:ascii="Arial" w:hAnsi="Arial" w:cs="Arial"/>
        </w:rPr>
      </w:pPr>
    </w:p>
    <w:p w14:paraId="5332B5F7" w14:textId="77777777" w:rsidR="00D1282C" w:rsidRPr="00D1282C" w:rsidRDefault="00D1282C" w:rsidP="00D1282C">
      <w:pPr>
        <w:pStyle w:val="PlainText"/>
        <w:rPr>
          <w:rFonts w:ascii="Arial" w:hAnsi="Arial" w:cs="Arial"/>
        </w:rPr>
      </w:pPr>
      <w:r w:rsidRPr="00D1282C">
        <w:rPr>
          <w:rFonts w:ascii="Arial" w:hAnsi="Arial" w:cs="Arial"/>
          <w:b/>
          <w:bCs/>
        </w:rPr>
        <w:t>The response is:</w:t>
      </w:r>
    </w:p>
    <w:p w14:paraId="5B7BAEAD" w14:textId="77777777" w:rsidR="00D1282C" w:rsidRPr="00D1282C" w:rsidRDefault="00D1282C" w:rsidP="00D1282C">
      <w:pPr>
        <w:pStyle w:val="PlainText"/>
        <w:rPr>
          <w:rFonts w:ascii="Arial" w:hAnsi="Arial" w:cs="Arial"/>
        </w:rPr>
      </w:pPr>
    </w:p>
    <w:p w14:paraId="7E629489" w14:textId="77777777" w:rsidR="00DF7AAD" w:rsidRPr="00DF7AAD" w:rsidRDefault="00DF7AAD" w:rsidP="00DF7AAD">
      <w:pPr>
        <w:pStyle w:val="PlainText"/>
        <w:rPr>
          <w:rFonts w:ascii="Arial" w:hAnsi="Arial" w:cs="Arial"/>
        </w:rPr>
      </w:pPr>
      <w:r w:rsidRPr="00DF7AAD">
        <w:rPr>
          <w:rFonts w:ascii="Arial" w:hAnsi="Arial" w:cs="Arial"/>
        </w:rPr>
        <w:t xml:space="preserve">I can confirm that Humberside Fire and Rescue Service hold this information. </w:t>
      </w:r>
    </w:p>
    <w:p w14:paraId="26E93F76" w14:textId="77777777" w:rsidR="00DF7AAD" w:rsidRDefault="00DF7AAD" w:rsidP="00DF7AAD">
      <w:pPr>
        <w:pStyle w:val="PlainText"/>
        <w:rPr>
          <w:rFonts w:ascii="Arial" w:hAnsi="Arial" w:cs="Arial"/>
        </w:rPr>
      </w:pPr>
      <w:r w:rsidRPr="00DF7AAD">
        <w:rPr>
          <w:rFonts w:ascii="Arial" w:hAnsi="Arial" w:cs="Arial"/>
        </w:rPr>
        <w:t xml:space="preserve">Please see the attached spreadsheet. </w:t>
      </w:r>
    </w:p>
    <w:p w14:paraId="57E5EDF5" w14:textId="57729FE1" w:rsidR="00DF7AAD" w:rsidRPr="00DF7AAD" w:rsidRDefault="00DF7AAD" w:rsidP="00DF7AAD">
      <w:pPr>
        <w:pStyle w:val="PlainText"/>
        <w:rPr>
          <w:rFonts w:ascii="Arial" w:hAnsi="Arial" w:cs="Arial"/>
        </w:rPr>
      </w:pPr>
      <w:r>
        <w:rPr>
          <w:rFonts w:ascii="Arial" w:hAnsi="Arial" w:cs="Arial"/>
        </w:rPr>
        <w:object w:dxaOrig="1520" w:dyaOrig="985" w14:anchorId="636C5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5pt" o:ole="">
            <v:imagedata r:id="rId8" o:title=""/>
          </v:shape>
          <o:OLEObject Type="Embed" ProgID="Excel.Sheet.12" ShapeID="_x0000_i1025" DrawAspect="Icon" ObjectID="_1849411058" r:id="rId9"/>
        </w:object>
      </w:r>
    </w:p>
    <w:p w14:paraId="5D3456BA" w14:textId="77777777" w:rsidR="00DF7AAD" w:rsidRPr="00DF7AAD" w:rsidRDefault="00DF7AAD" w:rsidP="00DF7AAD">
      <w:pPr>
        <w:pStyle w:val="PlainText"/>
        <w:rPr>
          <w:rFonts w:ascii="Arial" w:hAnsi="Arial" w:cs="Arial"/>
        </w:rPr>
      </w:pPr>
    </w:p>
    <w:p w14:paraId="3BEFF4A3" w14:textId="77777777" w:rsidR="00DF7AAD" w:rsidRPr="00DF7AAD" w:rsidRDefault="00DF7AAD" w:rsidP="00DF7AAD">
      <w:pPr>
        <w:pStyle w:val="PlainText"/>
        <w:rPr>
          <w:rFonts w:ascii="Arial" w:hAnsi="Arial" w:cs="Arial"/>
        </w:rPr>
      </w:pPr>
      <w:r w:rsidRPr="00DF7AAD">
        <w:rPr>
          <w:rFonts w:ascii="Arial" w:hAnsi="Arial" w:cs="Arial"/>
        </w:rPr>
        <w:t>Unfortunately, we are unable to provide the Call Signs for these appliances for security reasons as explained below.  </w:t>
      </w:r>
    </w:p>
    <w:p w14:paraId="7F88ED99" w14:textId="77777777" w:rsidR="00DF7AAD" w:rsidRPr="00DF7AAD" w:rsidRDefault="00DF7AAD" w:rsidP="00DF7AAD">
      <w:pPr>
        <w:pStyle w:val="PlainText"/>
        <w:rPr>
          <w:rFonts w:ascii="Arial" w:hAnsi="Arial" w:cs="Arial"/>
        </w:rPr>
      </w:pPr>
      <w:r w:rsidRPr="00DF7AAD">
        <w:rPr>
          <w:rFonts w:ascii="Arial" w:hAnsi="Arial" w:cs="Arial"/>
        </w:rPr>
        <w:t> </w:t>
      </w:r>
    </w:p>
    <w:p w14:paraId="4310055C" w14:textId="77777777" w:rsidR="00DF7AAD" w:rsidRPr="00DF7AAD" w:rsidRDefault="00DF7AAD" w:rsidP="00DF7AAD">
      <w:pPr>
        <w:pStyle w:val="PlainText"/>
        <w:rPr>
          <w:rFonts w:ascii="Arial" w:hAnsi="Arial" w:cs="Arial"/>
        </w:rPr>
      </w:pPr>
      <w:r w:rsidRPr="00DF7AAD">
        <w:rPr>
          <w:rFonts w:ascii="Arial" w:hAnsi="Arial" w:cs="Arial"/>
          <w:lang w:val="en-US"/>
        </w:rPr>
        <w:t xml:space="preserve">Although Callsigns are an overtly displayed marker that can be clearly seen and are intended to be seen, to disclose a ready-collated list of vehicles with complete Callsigns </w:t>
      </w:r>
      <w:r w:rsidRPr="00DF7AAD">
        <w:rPr>
          <w:rFonts w:ascii="Arial" w:hAnsi="Arial" w:cs="Arial"/>
          <w:lang w:val="en-US"/>
        </w:rPr>
        <w:lastRenderedPageBreak/>
        <w:t>would be substantially more harmful than the limited availability of the Callsigns whilst on public roads. The information is not realistically accessible to a member of the public and is therefore not in the public domain.</w:t>
      </w:r>
      <w:r w:rsidRPr="00DF7AAD">
        <w:rPr>
          <w:rFonts w:ascii="Arial" w:hAnsi="Arial" w:cs="Arial"/>
        </w:rPr>
        <w:t> </w:t>
      </w:r>
    </w:p>
    <w:p w14:paraId="58AA8126" w14:textId="77777777" w:rsidR="00DF7AAD" w:rsidRPr="00DF7AAD" w:rsidRDefault="00DF7AAD" w:rsidP="00DF7AAD">
      <w:pPr>
        <w:pStyle w:val="PlainText"/>
        <w:rPr>
          <w:rFonts w:ascii="Arial" w:hAnsi="Arial" w:cs="Arial"/>
        </w:rPr>
      </w:pPr>
      <w:r w:rsidRPr="00DF7AAD">
        <w:rPr>
          <w:rFonts w:ascii="Arial" w:hAnsi="Arial" w:cs="Arial"/>
        </w:rPr>
        <w:t> </w:t>
      </w:r>
    </w:p>
    <w:p w14:paraId="202969C5" w14:textId="77777777" w:rsidR="00DF7AAD" w:rsidRPr="00DF7AAD" w:rsidRDefault="00DF7AAD" w:rsidP="00DF7AAD">
      <w:pPr>
        <w:pStyle w:val="PlainText"/>
        <w:rPr>
          <w:rFonts w:ascii="Arial" w:hAnsi="Arial" w:cs="Arial"/>
        </w:rPr>
      </w:pPr>
      <w:r w:rsidRPr="00DF7AAD">
        <w:rPr>
          <w:rFonts w:ascii="Arial" w:hAnsi="Arial" w:cs="Arial"/>
        </w:rPr>
        <w:t>This information is therefore exempt under Section 24 National Security and Section 31 Law Enforcement, of the Freedom of Information Act 2000. As these are prejudice (harm) - based exemptions it is necessary for us to consider any harm which may be caused and also consider any public interest. Details are listed below:  </w:t>
      </w:r>
    </w:p>
    <w:p w14:paraId="6FCB71AC" w14:textId="77777777" w:rsidR="00DF7AAD" w:rsidRPr="00DF7AAD" w:rsidRDefault="00DF7AAD" w:rsidP="00DF7AAD">
      <w:pPr>
        <w:pStyle w:val="PlainText"/>
        <w:rPr>
          <w:rFonts w:ascii="Arial" w:hAnsi="Arial" w:cs="Arial"/>
        </w:rPr>
      </w:pPr>
      <w:r w:rsidRPr="00DF7AAD">
        <w:rPr>
          <w:rFonts w:ascii="Arial" w:hAnsi="Arial" w:cs="Arial"/>
        </w:rPr>
        <w:t> </w:t>
      </w:r>
    </w:p>
    <w:p w14:paraId="6AD4BBC8" w14:textId="77777777" w:rsidR="00DF7AAD" w:rsidRPr="00DF7AAD" w:rsidRDefault="00DF7AAD" w:rsidP="00DF7AAD">
      <w:pPr>
        <w:pStyle w:val="PlainText"/>
        <w:rPr>
          <w:rFonts w:ascii="Arial" w:hAnsi="Arial" w:cs="Arial"/>
        </w:rPr>
      </w:pPr>
      <w:r w:rsidRPr="00DF7AAD">
        <w:rPr>
          <w:rFonts w:ascii="Arial" w:hAnsi="Arial" w:cs="Arial"/>
          <w:u w:val="single"/>
        </w:rPr>
        <w:t>Prejudice (Harm)</w:t>
      </w:r>
      <w:r w:rsidRPr="00DF7AAD">
        <w:rPr>
          <w:rFonts w:ascii="Arial" w:hAnsi="Arial" w:cs="Arial"/>
        </w:rPr>
        <w:t> </w:t>
      </w:r>
      <w:r w:rsidRPr="00DF7AAD">
        <w:rPr>
          <w:rFonts w:ascii="Arial" w:hAnsi="Arial" w:cs="Arial"/>
        </w:rPr>
        <w:br/>
        <w:t> </w:t>
      </w:r>
      <w:r w:rsidRPr="00DF7AAD">
        <w:rPr>
          <w:rFonts w:ascii="Arial" w:hAnsi="Arial" w:cs="Arial"/>
        </w:rPr>
        <w:br/>
        <w:t>Disclosure of full Callsigns could be of intelligence value to a person or persons with criminal or malicious intent. Full disclosure could provide and enable targeted malicious actions, be that some form of attack on an operational unit. </w:t>
      </w:r>
      <w:r w:rsidRPr="00DF7AAD">
        <w:rPr>
          <w:rFonts w:ascii="Arial" w:hAnsi="Arial" w:cs="Arial"/>
        </w:rPr>
        <w:br/>
        <w:t> </w:t>
      </w:r>
      <w:r w:rsidRPr="00DF7AAD">
        <w:rPr>
          <w:rFonts w:ascii="Arial" w:hAnsi="Arial" w:cs="Arial"/>
        </w:rPr>
        <w:br/>
        <w:t>Providing full lists of Callsigns for Service vehicles provides opportunities for criminality to benefit; Service vehicles are often exempt from toll and congestion charges, facilitated by automatic recognition of Callsigns, and cloned vehicles would avoid these charges. </w:t>
      </w:r>
    </w:p>
    <w:p w14:paraId="7E34E1DC" w14:textId="77777777" w:rsidR="00DF7AAD" w:rsidRPr="00DF7AAD" w:rsidRDefault="00DF7AAD" w:rsidP="00DF7AAD">
      <w:pPr>
        <w:pStyle w:val="PlainText"/>
        <w:rPr>
          <w:rFonts w:ascii="Arial" w:hAnsi="Arial" w:cs="Arial"/>
        </w:rPr>
      </w:pPr>
      <w:r w:rsidRPr="00DF7AAD">
        <w:rPr>
          <w:rFonts w:ascii="Arial" w:hAnsi="Arial" w:cs="Arial"/>
        </w:rPr>
        <w:t> </w:t>
      </w:r>
    </w:p>
    <w:p w14:paraId="4DC9BF04" w14:textId="77777777" w:rsidR="00DF7AAD" w:rsidRPr="00DF7AAD" w:rsidRDefault="00DF7AAD" w:rsidP="00DF7AAD">
      <w:pPr>
        <w:pStyle w:val="PlainText"/>
        <w:rPr>
          <w:rFonts w:ascii="Arial" w:hAnsi="Arial" w:cs="Arial"/>
        </w:rPr>
      </w:pPr>
      <w:r w:rsidRPr="00DF7AAD">
        <w:rPr>
          <w:rFonts w:ascii="Arial" w:hAnsi="Arial" w:cs="Arial"/>
        </w:rPr>
        <w:t>Additionally, law enforcement tactics and operational capability would be compromised with the disclosure of full Callsign details requested, as those who wish to commit criminal acts will be more aware of which vehicles may belong to the Service and, if vehicles were cloned, this would impact upon law enforcement and also Humberside Fire and Rescue Service, as staff time and resource would be required to resolve any such incidents. It is widely reported that the number of cloned cars is increasing as criminals copy legitimate registration plates. </w:t>
      </w:r>
      <w:r w:rsidRPr="00DF7AAD">
        <w:rPr>
          <w:rFonts w:ascii="Arial" w:hAnsi="Arial" w:cs="Arial"/>
        </w:rPr>
        <w:br/>
        <w:t> </w:t>
      </w:r>
      <w:r w:rsidRPr="00DF7AAD">
        <w:rPr>
          <w:rFonts w:ascii="Arial" w:hAnsi="Arial" w:cs="Arial"/>
        </w:rPr>
        <w:br/>
      </w:r>
      <w:r w:rsidRPr="00DF7AAD">
        <w:rPr>
          <w:rFonts w:ascii="Arial" w:hAnsi="Arial" w:cs="Arial"/>
          <w:u w:val="single"/>
        </w:rPr>
        <w:t>Public Interest Test</w:t>
      </w:r>
      <w:r w:rsidRPr="00DF7AAD">
        <w:rPr>
          <w:rFonts w:ascii="Arial" w:hAnsi="Arial" w:cs="Arial"/>
        </w:rPr>
        <w:t> </w:t>
      </w:r>
      <w:r w:rsidRPr="00DF7AAD">
        <w:rPr>
          <w:rFonts w:ascii="Arial" w:hAnsi="Arial" w:cs="Arial"/>
        </w:rPr>
        <w:br/>
        <w:t> </w:t>
      </w:r>
      <w:r w:rsidRPr="00DF7AAD">
        <w:rPr>
          <w:rFonts w:ascii="Arial" w:hAnsi="Arial" w:cs="Arial"/>
        </w:rPr>
        <w:br/>
        <w:t>Factors favouring disclosure - There is a legitimate public interest in the public being satisfied that Humberside Fire &amp; Rescue Service has adequate appliances available to deliver services to the public when and where required. Public interest has been satisfied by the disclosure of the remainder of the information requested, it is our view that Callsigns do not add to the public interest. </w:t>
      </w:r>
      <w:r w:rsidRPr="00DF7AAD">
        <w:rPr>
          <w:rFonts w:ascii="Arial" w:hAnsi="Arial" w:cs="Arial"/>
        </w:rPr>
        <w:br/>
        <w:t> </w:t>
      </w:r>
      <w:r w:rsidRPr="00DF7AAD">
        <w:rPr>
          <w:rFonts w:ascii="Arial" w:hAnsi="Arial" w:cs="Arial"/>
        </w:rPr>
        <w:br/>
        <w:t>Factors favouring non-disclosure – Disclosing information which would allow the identification of Service vehicles, would allow those with criminal intent to commit offences such as vehicle cloning. This impacts upon individuals and additionally the resources of Humberside Fire and Rescue Service and also the Police Service. </w:t>
      </w:r>
      <w:r w:rsidRPr="00DF7AAD">
        <w:rPr>
          <w:rFonts w:ascii="Arial" w:hAnsi="Arial" w:cs="Arial"/>
        </w:rPr>
        <w:br/>
        <w:t> </w:t>
      </w:r>
      <w:r w:rsidRPr="00DF7AAD">
        <w:rPr>
          <w:rFonts w:ascii="Arial" w:hAnsi="Arial" w:cs="Arial"/>
        </w:rPr>
        <w:br/>
      </w:r>
      <w:r w:rsidRPr="00DF7AAD">
        <w:rPr>
          <w:rFonts w:ascii="Arial" w:hAnsi="Arial" w:cs="Arial"/>
          <w:u w:val="single"/>
        </w:rPr>
        <w:t>Balance Test</w:t>
      </w:r>
      <w:r w:rsidRPr="00DF7AAD">
        <w:rPr>
          <w:rFonts w:ascii="Arial" w:hAnsi="Arial" w:cs="Arial"/>
        </w:rPr>
        <w:t> </w:t>
      </w:r>
      <w:r w:rsidRPr="00DF7AAD">
        <w:rPr>
          <w:rFonts w:ascii="Arial" w:hAnsi="Arial" w:cs="Arial"/>
        </w:rPr>
        <w:br/>
        <w:t> </w:t>
      </w:r>
      <w:r w:rsidRPr="00DF7AAD">
        <w:rPr>
          <w:rFonts w:ascii="Arial" w:hAnsi="Arial" w:cs="Arial"/>
        </w:rPr>
        <w:br/>
        <w:t>It is not in the public interest to disclose full Fleet Callsigns, as those who wish to commit criminal acts will be more aware of the vehicles in operation and this will enable them to commit offences such as cloning of vehicles. </w:t>
      </w:r>
      <w:r w:rsidRPr="00DF7AAD">
        <w:rPr>
          <w:rFonts w:ascii="Arial" w:hAnsi="Arial" w:cs="Arial"/>
        </w:rPr>
        <w:br/>
        <w:t> </w:t>
      </w:r>
      <w:r w:rsidRPr="00DF7AAD">
        <w:rPr>
          <w:rFonts w:ascii="Arial" w:hAnsi="Arial" w:cs="Arial"/>
        </w:rPr>
        <w:br/>
        <w:t>Such a disclosure would allow those with criminal intent the ability to undermine national security and law enforcement. This would not be in the public interest. </w:t>
      </w:r>
      <w:r w:rsidRPr="00DF7AAD">
        <w:rPr>
          <w:rFonts w:ascii="Arial" w:hAnsi="Arial" w:cs="Arial"/>
        </w:rPr>
        <w:br/>
        <w:t> </w:t>
      </w:r>
      <w:r w:rsidRPr="00DF7AAD">
        <w:rPr>
          <w:rFonts w:ascii="Arial" w:hAnsi="Arial" w:cs="Arial"/>
        </w:rPr>
        <w:br/>
        <w:t>Disclosure is also not in the public interest as it places staff members and the community at increased unnecessary risk of harm and impacts on Humberside Fire and Rescue Service resources. </w:t>
      </w:r>
    </w:p>
    <w:p w14:paraId="4FB1CD4D" w14:textId="77777777" w:rsidR="00DF7AAD" w:rsidRPr="00DF7AAD" w:rsidRDefault="00DF7AAD" w:rsidP="00DF7AAD">
      <w:pPr>
        <w:pStyle w:val="PlainText"/>
        <w:rPr>
          <w:rFonts w:ascii="Arial" w:hAnsi="Arial" w:cs="Arial"/>
        </w:rPr>
      </w:pPr>
      <w:r w:rsidRPr="00DF7AAD">
        <w:rPr>
          <w:rFonts w:ascii="Arial" w:hAnsi="Arial" w:cs="Arial"/>
        </w:rPr>
        <w:t>      </w:t>
      </w:r>
    </w:p>
    <w:p w14:paraId="731DDC6F" w14:textId="77777777" w:rsidR="00DF7AAD" w:rsidRPr="00DF7AAD" w:rsidRDefault="00DF7AAD" w:rsidP="00DF7AAD">
      <w:pPr>
        <w:pStyle w:val="PlainText"/>
        <w:rPr>
          <w:rFonts w:ascii="Arial" w:hAnsi="Arial" w:cs="Arial"/>
        </w:rPr>
      </w:pPr>
      <w:r w:rsidRPr="00DF7AAD">
        <w:rPr>
          <w:rFonts w:ascii="Arial" w:hAnsi="Arial" w:cs="Arial"/>
        </w:rPr>
        <w:t>The public interest in providing the information has been carefully weighed against any prejudice to the public interest that might arise from withholding the information. It is my view that the public interest in maintaining the exemptions outweighs the public interest in disclosure and I am unable to release this information</w:t>
      </w:r>
    </w:p>
    <w:p w14:paraId="1994D2EB" w14:textId="77777777" w:rsidR="00744F46" w:rsidRDefault="00744F46" w:rsidP="00FB38E6">
      <w:pPr>
        <w:pStyle w:val="PlainText"/>
        <w:rPr>
          <w:rFonts w:ascii="Arial" w:hAnsi="Arial" w:cs="Arial"/>
        </w:rPr>
      </w:pPr>
    </w:p>
    <w:p w14:paraId="3D1BD184" w14:textId="5CC2005D" w:rsidR="00A35C80" w:rsidRPr="00FB38E6" w:rsidRDefault="00A35C80" w:rsidP="00FB38E6">
      <w:pPr>
        <w:pStyle w:val="PlainText"/>
        <w:rPr>
          <w:rFonts w:ascii="Arial" w:hAnsi="Arial" w:cs="Arial"/>
        </w:rPr>
      </w:pPr>
      <w:r w:rsidRPr="00FB38E6">
        <w:rPr>
          <w:rFonts w:ascii="Arial" w:hAnsi="Arial" w:cs="Arial"/>
        </w:rPr>
        <w:lastRenderedPageBreak/>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10"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974"/>
    <w:multiLevelType w:val="multilevel"/>
    <w:tmpl w:val="0352BD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90FBA"/>
    <w:multiLevelType w:val="multilevel"/>
    <w:tmpl w:val="11BA74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966CD5"/>
    <w:multiLevelType w:val="multilevel"/>
    <w:tmpl w:val="021C32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6"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D2E3F5A"/>
    <w:multiLevelType w:val="multilevel"/>
    <w:tmpl w:val="4F4A32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142389E"/>
    <w:multiLevelType w:val="multilevel"/>
    <w:tmpl w:val="7D6E59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7"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6"/>
  </w:num>
  <w:num w:numId="3" w16cid:durableId="462230545">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23"/>
  </w:num>
  <w:num w:numId="9" w16cid:durableId="895816318">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9"/>
  </w:num>
  <w:num w:numId="11" w16cid:durableId="608508025">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10"/>
  </w:num>
  <w:num w:numId="13" w16cid:durableId="15773972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9"/>
  </w:num>
  <w:num w:numId="17" w16cid:durableId="11688289">
    <w:abstractNumId w:val="12"/>
  </w:num>
  <w:num w:numId="18" w16cid:durableId="1148395557">
    <w:abstractNumId w:val="7"/>
  </w:num>
  <w:num w:numId="19" w16cid:durableId="1546332959">
    <w:abstractNumId w:val="17"/>
  </w:num>
  <w:num w:numId="20" w16cid:durableId="15870306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1"/>
  </w:num>
  <w:num w:numId="22" w16cid:durableId="8220453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20"/>
  </w:num>
  <w:num w:numId="24" w16cid:durableId="1381630831">
    <w:abstractNumId w:val="26"/>
  </w:num>
  <w:num w:numId="25" w16cid:durableId="1822384468">
    <w:abstractNumId w:val="13"/>
  </w:num>
  <w:num w:numId="26" w16cid:durableId="474107424">
    <w:abstractNumId w:val="5"/>
  </w:num>
  <w:num w:numId="27" w16cid:durableId="777797071">
    <w:abstractNumId w:val="33"/>
  </w:num>
  <w:num w:numId="28" w16cid:durableId="328754138">
    <w:abstractNumId w:val="28"/>
  </w:num>
  <w:num w:numId="29" w16cid:durableId="1034843774">
    <w:abstractNumId w:val="2"/>
  </w:num>
  <w:num w:numId="30" w16cid:durableId="365328125">
    <w:abstractNumId w:val="21"/>
  </w:num>
  <w:num w:numId="31" w16cid:durableId="353658409">
    <w:abstractNumId w:val="4"/>
  </w:num>
  <w:num w:numId="32" w16cid:durableId="753697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84531518">
    <w:abstractNumId w:val="15"/>
  </w:num>
  <w:num w:numId="34" w16cid:durableId="11758028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66039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D5142"/>
    <w:rsid w:val="001E328C"/>
    <w:rsid w:val="001F0EBB"/>
    <w:rsid w:val="00206A85"/>
    <w:rsid w:val="00213B5B"/>
    <w:rsid w:val="002233E8"/>
    <w:rsid w:val="002328FD"/>
    <w:rsid w:val="00244B24"/>
    <w:rsid w:val="002450D6"/>
    <w:rsid w:val="0025203F"/>
    <w:rsid w:val="00271E1D"/>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3F06"/>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4877"/>
    <w:rsid w:val="005F50CE"/>
    <w:rsid w:val="005F7452"/>
    <w:rsid w:val="0061753C"/>
    <w:rsid w:val="00617672"/>
    <w:rsid w:val="00623B8F"/>
    <w:rsid w:val="00625E3D"/>
    <w:rsid w:val="00626CA8"/>
    <w:rsid w:val="00640A0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21BF2"/>
    <w:rsid w:val="007231D8"/>
    <w:rsid w:val="007319C1"/>
    <w:rsid w:val="00744F46"/>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A7E9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36282"/>
    <w:rsid w:val="00B6459A"/>
    <w:rsid w:val="00B72246"/>
    <w:rsid w:val="00B75C97"/>
    <w:rsid w:val="00B762F8"/>
    <w:rsid w:val="00B81F75"/>
    <w:rsid w:val="00B8257D"/>
    <w:rsid w:val="00B943FC"/>
    <w:rsid w:val="00B97B36"/>
    <w:rsid w:val="00BA5C35"/>
    <w:rsid w:val="00BA72D0"/>
    <w:rsid w:val="00BB4926"/>
    <w:rsid w:val="00BC2757"/>
    <w:rsid w:val="00BC5DFC"/>
    <w:rsid w:val="00BC5F26"/>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5F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282C"/>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DF7AAD"/>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newsletter.ico.org.uk/c/1lULiJldYNwfIFlCf3c4BKJdO" TargetMode="External"/><Relationship Id="rId4" Type="http://schemas.openxmlformats.org/officeDocument/2006/relationships/numbering" Target="numbering.xml"/><Relationship Id="rId9"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4</cp:revision>
  <dcterms:created xsi:type="dcterms:W3CDTF">2026-08-28T07:30:00Z</dcterms:created>
  <dcterms:modified xsi:type="dcterms:W3CDTF">2026-08-28T07:31:00Z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