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2A3619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913A5F">
        <w:rPr>
          <w:rFonts w:ascii="Arial" w:hAnsi="Arial" w:cs="Arial"/>
          <w:b/>
          <w:bCs/>
        </w:rPr>
        <w:t>17 Prohibition Notice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2C44A24"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Please provide information about fire safety prohibition notices issued by your fire and rescue service/fire authority under Article 31 of the Regulatory Reform (Fire Safety) Order 2005.</w:t>
      </w:r>
    </w:p>
    <w:p w14:paraId="5F5D03D8" w14:textId="77777777" w:rsidR="00913A5F" w:rsidRPr="00913A5F" w:rsidRDefault="00913A5F" w:rsidP="00913A5F">
      <w:pPr>
        <w:pStyle w:val="PlainText"/>
        <w:rPr>
          <w:rFonts w:ascii="Arial" w:hAnsi="Arial" w:cs="Arial"/>
          <w:color w:val="000000"/>
        </w:rPr>
      </w:pPr>
    </w:p>
    <w:p w14:paraId="0E695B3A"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Please provide the data for each calendar year from 1 January 2021 to the date this request is processed.</w:t>
      </w:r>
    </w:p>
    <w:p w14:paraId="7ADD66CE" w14:textId="77777777" w:rsidR="00913A5F" w:rsidRPr="00913A5F" w:rsidRDefault="00913A5F" w:rsidP="00913A5F">
      <w:pPr>
        <w:pStyle w:val="PlainText"/>
        <w:rPr>
          <w:rFonts w:ascii="Arial" w:hAnsi="Arial" w:cs="Arial"/>
          <w:color w:val="000000"/>
        </w:rPr>
      </w:pPr>
    </w:p>
    <w:p w14:paraId="1ABDE985"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For each year, please provide:</w:t>
      </w:r>
    </w:p>
    <w:p w14:paraId="02B45063"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1. The total number of prohibition notices issued.</w:t>
      </w:r>
    </w:p>
    <w:p w14:paraId="5A7C9ADD"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2. A breakdown of those prohibition notices by premises/building type, using the categories held by your authority. If possible, please include at least:</w:t>
      </w:r>
    </w:p>
    <w:p w14:paraId="794DF344"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   * residential premises, including blocks of flats, HMOs, supported/sheltered housing and other residential accommodation;</w:t>
      </w:r>
    </w:p>
    <w:p w14:paraId="3E7A6686"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   * commercial premises, including shops, offices, hospitality, industrial, leisure and other non-domestic premises;</w:t>
      </w:r>
    </w:p>
    <w:p w14:paraId="78BBEF07"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   * mixed-use premises;</w:t>
      </w:r>
    </w:p>
    <w:p w14:paraId="5CCDE344"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   * other/unknown.</w:t>
      </w:r>
    </w:p>
    <w:p w14:paraId="61948E21" w14:textId="77777777" w:rsidR="00913A5F" w:rsidRPr="00913A5F" w:rsidRDefault="00913A5F" w:rsidP="00913A5F">
      <w:pPr>
        <w:pStyle w:val="PlainText"/>
        <w:rPr>
          <w:rFonts w:ascii="Arial" w:hAnsi="Arial" w:cs="Arial"/>
          <w:color w:val="000000"/>
        </w:rPr>
      </w:pPr>
      <w:r w:rsidRPr="00913A5F">
        <w:rPr>
          <w:rFonts w:ascii="Arial" w:hAnsi="Arial" w:cs="Arial"/>
          <w:color w:val="000000"/>
        </w:rPr>
        <w:t>3. The number of prohibition notices issued in relation to buildings or premises that were under construction, conversion, refurbishment, renovation or major building works at the time the notice was served.</w:t>
      </w:r>
    </w:p>
    <w:p w14:paraId="77D7DFBA" w14:textId="77777777" w:rsidR="00BA72D0" w:rsidRPr="00BA72D0" w:rsidRDefault="00BA72D0" w:rsidP="00BA72D0">
      <w:pPr>
        <w:pStyle w:val="PlainText"/>
        <w:rPr>
          <w:rFonts w:ascii="Arial" w:hAnsi="Arial" w:cs="Arial"/>
          <w:color w:val="000000"/>
        </w:rPr>
      </w:pPr>
      <w:r w:rsidRPr="00BA72D0">
        <w:rPr>
          <w:rFonts w:ascii="Arial" w:hAnsi="Arial" w:cs="Arial"/>
          <w:color w:val="000000"/>
        </w:rPr>
        <w:t> </w:t>
      </w: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07C206F1" w14:textId="77777777" w:rsidR="00BA72D0" w:rsidRPr="00BA72D0" w:rsidRDefault="00BA72D0" w:rsidP="00BA72D0">
      <w:pPr>
        <w:pStyle w:val="PlainText"/>
        <w:rPr>
          <w:rFonts w:ascii="Arial" w:hAnsi="Arial" w:cs="Arial"/>
          <w:color w:val="000000"/>
        </w:rPr>
      </w:pPr>
    </w:p>
    <w:p w14:paraId="48C49103"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 xml:space="preserve">I can confirm that Humberside Fire and Rescue Service hold this information. Please see below. </w:t>
      </w:r>
    </w:p>
    <w:p w14:paraId="37FC02B2"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 xml:space="preserve">1. </w:t>
      </w:r>
    </w:p>
    <w:p w14:paraId="5A004200"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2021 – 1</w:t>
      </w:r>
    </w:p>
    <w:p w14:paraId="56F0E3F3"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2022 – 1</w:t>
      </w:r>
    </w:p>
    <w:p w14:paraId="7265B4F8"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2025 – 1</w:t>
      </w:r>
    </w:p>
    <w:p w14:paraId="42DC8A2D" w14:textId="77777777" w:rsidR="00206468" w:rsidRPr="00206468" w:rsidRDefault="00206468" w:rsidP="00206468">
      <w:pPr>
        <w:pStyle w:val="PlainText"/>
        <w:rPr>
          <w:rFonts w:ascii="Arial" w:hAnsi="Arial" w:cs="Arial"/>
          <w:color w:val="000000"/>
        </w:rPr>
      </w:pPr>
    </w:p>
    <w:p w14:paraId="21ADB265"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 xml:space="preserve">2. </w:t>
      </w:r>
    </w:p>
    <w:p w14:paraId="1FA1A290"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2021 – Takeaway</w:t>
      </w:r>
    </w:p>
    <w:p w14:paraId="16E627EF"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2022 – Factory/Warehouse</w:t>
      </w:r>
    </w:p>
    <w:p w14:paraId="1696C974"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2025 – Shop</w:t>
      </w:r>
    </w:p>
    <w:p w14:paraId="31BB2183" w14:textId="77777777" w:rsidR="00206468" w:rsidRPr="00206468" w:rsidRDefault="00206468" w:rsidP="00206468">
      <w:pPr>
        <w:pStyle w:val="PlainText"/>
        <w:rPr>
          <w:rFonts w:ascii="Arial" w:hAnsi="Arial" w:cs="Arial"/>
          <w:color w:val="000000"/>
        </w:rPr>
      </w:pPr>
    </w:p>
    <w:p w14:paraId="7301652B"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 xml:space="preserve">3. </w:t>
      </w:r>
    </w:p>
    <w:p w14:paraId="179326DF" w14:textId="77777777" w:rsidR="00206468" w:rsidRPr="00206468" w:rsidRDefault="00206468" w:rsidP="00206468">
      <w:pPr>
        <w:pStyle w:val="PlainText"/>
        <w:rPr>
          <w:rFonts w:ascii="Arial" w:hAnsi="Arial" w:cs="Arial"/>
          <w:color w:val="000000"/>
        </w:rPr>
      </w:pPr>
      <w:r w:rsidRPr="00206468">
        <w:rPr>
          <w:rFonts w:ascii="Arial" w:hAnsi="Arial" w:cs="Arial"/>
          <w:color w:val="000000"/>
        </w:rPr>
        <w:t>None.</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3"/>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03615"/>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468"/>
    <w:rsid w:val="00206A85"/>
    <w:rsid w:val="00213B5B"/>
    <w:rsid w:val="002233E8"/>
    <w:rsid w:val="002328FD"/>
    <w:rsid w:val="00244B24"/>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A5F"/>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B6BDC"/>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2026-05-28T07:28:00Z</dcterms:created>
  <dcterms:modified xsi:type="dcterms:W3CDTF">2026-05-28T07:29:00Z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