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415CCC8"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00</w:t>
      </w:r>
      <w:r w:rsidR="000141D5">
        <w:rPr>
          <w:rFonts w:ascii="Arial" w:hAnsi="Arial" w:cs="Arial"/>
          <w:b/>
          <w:bCs/>
        </w:rPr>
        <w:t>5 Cyber Security Breaches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0679C07" w14:textId="77777777" w:rsidR="00855DF5" w:rsidRPr="00855DF5" w:rsidRDefault="00855DF5" w:rsidP="00855DF5">
      <w:pPr>
        <w:spacing w:line="240" w:lineRule="auto"/>
        <w:rPr>
          <w:rFonts w:ascii="Arial" w:hAnsi="Arial" w:cs="Arial"/>
          <w:color w:val="000000"/>
          <w:lang w:eastAsia="en-GB"/>
        </w:rPr>
      </w:pPr>
    </w:p>
    <w:p w14:paraId="71D96BA4" w14:textId="77777777" w:rsidR="00855DF5" w:rsidRPr="00855DF5" w:rsidRDefault="00855DF5" w:rsidP="00855DF5">
      <w:pPr>
        <w:numPr>
          <w:ilvl w:val="0"/>
          <w:numId w:val="47"/>
        </w:numPr>
        <w:spacing w:line="240" w:lineRule="auto"/>
        <w:rPr>
          <w:rFonts w:ascii="Arial" w:hAnsi="Arial" w:cs="Arial"/>
          <w:color w:val="000000"/>
          <w:lang w:eastAsia="en-GB"/>
        </w:rPr>
      </w:pPr>
      <w:r w:rsidRPr="00855DF5">
        <w:rPr>
          <w:rFonts w:ascii="Arial" w:hAnsi="Arial" w:cs="Arial"/>
          <w:color w:val="000000"/>
          <w:lang w:eastAsia="en-GB"/>
        </w:rPr>
        <w:t>The number of cyber security breaches that have being identified that were found to be a result of a malicious threat actor (i.e. not accidental data breach)</w:t>
      </w:r>
    </w:p>
    <w:p w14:paraId="3D036E23" w14:textId="77777777" w:rsidR="00855DF5" w:rsidRPr="00855DF5" w:rsidRDefault="00855DF5" w:rsidP="00855DF5">
      <w:pPr>
        <w:numPr>
          <w:ilvl w:val="0"/>
          <w:numId w:val="47"/>
        </w:numPr>
        <w:spacing w:line="240" w:lineRule="auto"/>
        <w:rPr>
          <w:rFonts w:ascii="Arial" w:hAnsi="Arial" w:cs="Arial"/>
          <w:color w:val="000000"/>
          <w:lang w:eastAsia="en-GB"/>
        </w:rPr>
      </w:pPr>
      <w:r w:rsidRPr="00855DF5">
        <w:rPr>
          <w:rFonts w:ascii="Arial" w:hAnsi="Arial" w:cs="Arial"/>
          <w:color w:val="000000"/>
          <w:lang w:eastAsia="en-GB"/>
        </w:rPr>
        <w:t>The breakdown in high-level causes of these breaches as identified by cyber security incident response teams (CSIRTs), for example (but not limited to) unpatched software/hardware, lack of multi-factor authentication (MFA), leaked user credentials, lack of in-transit encryption, etc</w:t>
      </w:r>
    </w:p>
    <w:p w14:paraId="47A4FC6C" w14:textId="77777777" w:rsidR="00855DF5" w:rsidRPr="00855DF5" w:rsidRDefault="00855DF5" w:rsidP="00855DF5">
      <w:pPr>
        <w:numPr>
          <w:ilvl w:val="0"/>
          <w:numId w:val="47"/>
        </w:numPr>
        <w:spacing w:line="240" w:lineRule="auto"/>
        <w:rPr>
          <w:rFonts w:ascii="Arial" w:hAnsi="Arial" w:cs="Arial"/>
          <w:color w:val="000000"/>
          <w:lang w:eastAsia="en-GB"/>
        </w:rPr>
      </w:pPr>
      <w:r w:rsidRPr="00855DF5">
        <w:rPr>
          <w:rFonts w:ascii="Arial" w:hAnsi="Arial" w:cs="Arial"/>
          <w:color w:val="000000"/>
          <w:lang w:eastAsia="en-GB"/>
        </w:rPr>
        <w:t>The number of breaches that occurred that were attributed to a previously known vulnerability to the organisations hardware, software, policies, or processes, for example where system was known to be at risk due to being unpatched or out of support, or security controls were recommended but not enforced, and was defined within the resulting incident response report.</w:t>
      </w:r>
    </w:p>
    <w:p w14:paraId="1F748E8F" w14:textId="77777777" w:rsidR="00855DF5" w:rsidRPr="00855DF5" w:rsidRDefault="00855DF5" w:rsidP="00855DF5">
      <w:pPr>
        <w:numPr>
          <w:ilvl w:val="0"/>
          <w:numId w:val="47"/>
        </w:numPr>
        <w:spacing w:line="240" w:lineRule="auto"/>
        <w:rPr>
          <w:rFonts w:ascii="Arial" w:hAnsi="Arial" w:cs="Arial"/>
          <w:color w:val="000000"/>
          <w:lang w:eastAsia="en-GB"/>
        </w:rPr>
      </w:pPr>
      <w:r w:rsidRPr="00855DF5">
        <w:rPr>
          <w:rFonts w:ascii="Arial" w:hAnsi="Arial" w:cs="Arial"/>
          <w:color w:val="000000"/>
          <w:lang w:eastAsia="en-GB"/>
        </w:rPr>
        <w:t>The estimated combined costs incurred as a result of cyber security breaches defined in request number one in each year.</w:t>
      </w:r>
    </w:p>
    <w:p w14:paraId="35967CC8" w14:textId="77777777" w:rsidR="003811D5" w:rsidRDefault="003811D5" w:rsidP="00FB38E6">
      <w:pPr>
        <w:spacing w:line="240" w:lineRule="auto"/>
        <w:rPr>
          <w:rFonts w:ascii="Arial" w:hAnsi="Arial" w:cs="Arial"/>
          <w:b/>
          <w:bCs/>
        </w:rPr>
      </w:pP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6E89C07" w14:textId="77777777" w:rsidR="00855DF5" w:rsidRPr="00855DF5" w:rsidRDefault="00855DF5" w:rsidP="00855DF5">
      <w:pPr>
        <w:pStyle w:val="PlainText"/>
        <w:rPr>
          <w:rFonts w:ascii="Arial" w:hAnsi="Arial" w:cs="Arial"/>
        </w:rPr>
      </w:pPr>
      <w:r w:rsidRPr="00855DF5">
        <w:rPr>
          <w:rFonts w:ascii="Arial" w:hAnsi="Arial" w:cs="Arial"/>
        </w:rPr>
        <w:t xml:space="preserve">I can confirm that Humberside Fire and Rescue Service hold this information, however, unfortunately, we are unable to provide this information as it is exempt under Section 31(1)(a), Section 24(1), and Section 38(1) of the Freedom of Information Act 2000. </w:t>
      </w:r>
    </w:p>
    <w:p w14:paraId="04B6AB56" w14:textId="77777777" w:rsidR="00855DF5" w:rsidRPr="00855DF5" w:rsidRDefault="00855DF5" w:rsidP="00855DF5">
      <w:pPr>
        <w:pStyle w:val="PlainText"/>
        <w:rPr>
          <w:rFonts w:ascii="Arial" w:hAnsi="Arial" w:cs="Arial"/>
        </w:rPr>
      </w:pPr>
    </w:p>
    <w:p w14:paraId="6ED7C035" w14:textId="77777777" w:rsidR="00855DF5" w:rsidRPr="00855DF5" w:rsidRDefault="00855DF5" w:rsidP="00855DF5">
      <w:pPr>
        <w:pStyle w:val="PlainText"/>
        <w:rPr>
          <w:rFonts w:ascii="Arial" w:hAnsi="Arial" w:cs="Arial"/>
          <w:b/>
          <w:bCs/>
        </w:rPr>
      </w:pPr>
      <w:r w:rsidRPr="00855DF5">
        <w:rPr>
          <w:rFonts w:ascii="Arial" w:hAnsi="Arial" w:cs="Arial"/>
          <w:b/>
          <w:bCs/>
        </w:rPr>
        <w:t>31Law enforcement.</w:t>
      </w:r>
    </w:p>
    <w:p w14:paraId="65F59368" w14:textId="77777777" w:rsidR="00855DF5" w:rsidRPr="00855DF5" w:rsidRDefault="00855DF5" w:rsidP="00855DF5">
      <w:pPr>
        <w:pStyle w:val="PlainText"/>
        <w:rPr>
          <w:rFonts w:ascii="Arial" w:hAnsi="Arial" w:cs="Arial"/>
        </w:rPr>
      </w:pPr>
      <w:r w:rsidRPr="00855DF5">
        <w:rPr>
          <w:rFonts w:ascii="Arial" w:hAnsi="Arial" w:cs="Arial"/>
        </w:rPr>
        <w:t>(1)Information which is not exempt information by virtue of section 30 is exempt information if its disclosure under this Act would, or would be likely to, prejudice—</w:t>
      </w:r>
    </w:p>
    <w:p w14:paraId="1924FB30" w14:textId="77777777" w:rsidR="00855DF5" w:rsidRPr="00855DF5" w:rsidRDefault="00855DF5" w:rsidP="00855DF5">
      <w:pPr>
        <w:pStyle w:val="PlainText"/>
        <w:rPr>
          <w:rFonts w:ascii="Arial" w:hAnsi="Arial" w:cs="Arial"/>
        </w:rPr>
      </w:pPr>
      <w:r w:rsidRPr="00855DF5">
        <w:rPr>
          <w:rFonts w:ascii="Arial" w:hAnsi="Arial" w:cs="Arial"/>
        </w:rPr>
        <w:t>(a)the prevention or detection of crime. </w:t>
      </w:r>
    </w:p>
    <w:p w14:paraId="3AC52453" w14:textId="77777777" w:rsidR="00855DF5" w:rsidRPr="00855DF5" w:rsidRDefault="00855DF5" w:rsidP="00855DF5">
      <w:pPr>
        <w:pStyle w:val="PlainText"/>
        <w:rPr>
          <w:rFonts w:ascii="Arial" w:hAnsi="Arial" w:cs="Arial"/>
        </w:rPr>
      </w:pPr>
    </w:p>
    <w:p w14:paraId="380F4D5C" w14:textId="77777777" w:rsidR="00855DF5" w:rsidRPr="00855DF5" w:rsidRDefault="00855DF5" w:rsidP="00855DF5">
      <w:pPr>
        <w:pStyle w:val="PlainText"/>
        <w:rPr>
          <w:rFonts w:ascii="Arial" w:hAnsi="Arial" w:cs="Arial"/>
        </w:rPr>
      </w:pPr>
      <w:r w:rsidRPr="00855DF5">
        <w:rPr>
          <w:rFonts w:ascii="Arial" w:hAnsi="Arial" w:cs="Arial"/>
        </w:rPr>
        <w:t xml:space="preserve">Providing this information would assist those who want to attack our IT systems. It would reveal whether our crisis management and critical incident framework had or had not been invoked in relation to a serious cyber incident. </w:t>
      </w:r>
    </w:p>
    <w:p w14:paraId="3E1787A8" w14:textId="77777777" w:rsidR="00855DF5" w:rsidRPr="00855DF5" w:rsidRDefault="00855DF5" w:rsidP="00855DF5">
      <w:pPr>
        <w:pStyle w:val="PlainText"/>
        <w:rPr>
          <w:rFonts w:ascii="Arial" w:hAnsi="Arial" w:cs="Arial"/>
        </w:rPr>
      </w:pPr>
      <w:r w:rsidRPr="00855DF5">
        <w:rPr>
          <w:rFonts w:ascii="Arial" w:hAnsi="Arial" w:cs="Arial"/>
        </w:rPr>
        <w:t xml:space="preserve">Disclosing that crisis management and critical incident framework would help an IT attacker to establish that its attack had been detected, in particular as the nature of the attack might be such that the attacker could conclude with reasonable certainty whether it was or was not the cause of the invocation. Similarly, disclosing that the authority had not invoked its crisis management and critical incident framework would help an IT attacker to determine that its attack had not been detected. Both scenarios could provide attackers with a valuable insight into the public authority’s level of resilience, thereby facilitating the commissioning or concealment of crime in relation to fraud, data protection and terrorism. </w:t>
      </w:r>
    </w:p>
    <w:p w14:paraId="27BC0B94" w14:textId="77777777" w:rsidR="00855DF5" w:rsidRPr="00855DF5" w:rsidRDefault="00855DF5" w:rsidP="00855DF5">
      <w:pPr>
        <w:pStyle w:val="PlainText"/>
        <w:rPr>
          <w:rFonts w:ascii="Arial" w:hAnsi="Arial" w:cs="Arial"/>
        </w:rPr>
      </w:pPr>
      <w:r w:rsidRPr="00855DF5">
        <w:rPr>
          <w:rFonts w:ascii="Arial" w:hAnsi="Arial" w:cs="Arial"/>
        </w:rPr>
        <w:t>Complying with this request would make it more difficult to refuse information in similar cases in future. To routinely disclose information in this domain, this would facilitate an attacker’s ability to link its own activities to those of the Services.</w:t>
      </w:r>
    </w:p>
    <w:p w14:paraId="7414F48B" w14:textId="77777777" w:rsidR="00855DF5" w:rsidRPr="00855DF5" w:rsidRDefault="00855DF5" w:rsidP="00855DF5">
      <w:pPr>
        <w:pStyle w:val="PlainText"/>
        <w:rPr>
          <w:rFonts w:ascii="Arial" w:hAnsi="Arial" w:cs="Arial"/>
        </w:rPr>
      </w:pPr>
    </w:p>
    <w:p w14:paraId="62F67925" w14:textId="77777777" w:rsidR="00855DF5" w:rsidRPr="00855DF5" w:rsidRDefault="00855DF5" w:rsidP="00855DF5">
      <w:pPr>
        <w:pStyle w:val="PlainText"/>
        <w:rPr>
          <w:rFonts w:ascii="Arial" w:hAnsi="Arial" w:cs="Arial"/>
        </w:rPr>
      </w:pPr>
      <w:r w:rsidRPr="00855DF5">
        <w:rPr>
          <w:rFonts w:ascii="Arial" w:hAnsi="Arial" w:cs="Arial"/>
        </w:rPr>
        <w:t xml:space="preserve">This exemption requires a public interest test. </w:t>
      </w:r>
    </w:p>
    <w:p w14:paraId="24927C00" w14:textId="77777777" w:rsidR="00855DF5" w:rsidRPr="00855DF5" w:rsidRDefault="00855DF5" w:rsidP="00855DF5">
      <w:pPr>
        <w:pStyle w:val="PlainText"/>
        <w:rPr>
          <w:rFonts w:ascii="Arial" w:hAnsi="Arial" w:cs="Arial"/>
        </w:rPr>
      </w:pPr>
    </w:p>
    <w:p w14:paraId="22ABD3A2" w14:textId="77777777" w:rsidR="00855DF5" w:rsidRPr="00855DF5" w:rsidRDefault="00855DF5" w:rsidP="00855DF5">
      <w:pPr>
        <w:pStyle w:val="PlainText"/>
        <w:rPr>
          <w:rFonts w:ascii="Arial" w:hAnsi="Arial" w:cs="Arial"/>
          <w:u w:val="single"/>
        </w:rPr>
      </w:pPr>
      <w:r w:rsidRPr="00855DF5">
        <w:rPr>
          <w:rFonts w:ascii="Arial" w:hAnsi="Arial" w:cs="Arial"/>
          <w:u w:val="single"/>
        </w:rPr>
        <w:t>Public Interest Test</w:t>
      </w:r>
    </w:p>
    <w:p w14:paraId="34E2BA34" w14:textId="77777777" w:rsidR="00855DF5" w:rsidRPr="00855DF5" w:rsidRDefault="00855DF5" w:rsidP="00855DF5">
      <w:pPr>
        <w:pStyle w:val="PlainText"/>
        <w:rPr>
          <w:rFonts w:ascii="Arial" w:hAnsi="Arial" w:cs="Arial"/>
        </w:rPr>
      </w:pPr>
      <w:r w:rsidRPr="00855DF5">
        <w:rPr>
          <w:rFonts w:ascii="Arial" w:hAnsi="Arial" w:cs="Arial"/>
        </w:rPr>
        <w:lastRenderedPageBreak/>
        <w:t xml:space="preserve">Factors favouring disclosure - There is a legitimate public interest in our approach to cyber security and there may be circumstances where it is necessary and appropriate to publicly disclose details of a particular incident. </w:t>
      </w:r>
    </w:p>
    <w:p w14:paraId="790E3A40" w14:textId="77777777" w:rsidR="00855DF5" w:rsidRPr="00855DF5" w:rsidRDefault="00855DF5" w:rsidP="00855DF5">
      <w:pPr>
        <w:pStyle w:val="PlainText"/>
        <w:rPr>
          <w:rFonts w:ascii="Arial" w:hAnsi="Arial" w:cs="Arial"/>
        </w:rPr>
      </w:pPr>
      <w:r w:rsidRPr="00855DF5">
        <w:rPr>
          <w:rFonts w:ascii="Arial" w:hAnsi="Arial" w:cs="Arial"/>
        </w:rPr>
        <w:t>Factors favouring non-disclosure - There is a significant public interest in protecting society from the impact of crime and not facilitating any steps which are likely to prejudice the prevention or detection of crime. There is a substantial public interest in not jeopardising the authority’s resilience to cyber threats given the potential repercussions in terms of ability to attend incidents effectively and ensuring public safety.</w:t>
      </w:r>
    </w:p>
    <w:p w14:paraId="31DD8F87" w14:textId="77777777" w:rsidR="00855DF5" w:rsidRPr="00855DF5" w:rsidRDefault="00855DF5" w:rsidP="00855DF5">
      <w:pPr>
        <w:pStyle w:val="PlainText"/>
        <w:rPr>
          <w:rFonts w:ascii="Arial" w:hAnsi="Arial" w:cs="Arial"/>
          <w:u w:val="single"/>
        </w:rPr>
      </w:pPr>
      <w:r w:rsidRPr="00855DF5">
        <w:rPr>
          <w:rFonts w:ascii="Arial" w:hAnsi="Arial" w:cs="Arial"/>
          <w:u w:val="single"/>
        </w:rPr>
        <w:t>Balancing Test</w:t>
      </w:r>
    </w:p>
    <w:p w14:paraId="1BD805A3" w14:textId="77777777" w:rsidR="00855DF5" w:rsidRPr="00855DF5" w:rsidRDefault="00855DF5" w:rsidP="00855DF5">
      <w:pPr>
        <w:pStyle w:val="PlainText"/>
        <w:rPr>
          <w:rFonts w:ascii="Arial" w:hAnsi="Arial" w:cs="Arial"/>
        </w:rPr>
      </w:pPr>
      <w:r w:rsidRPr="00855DF5">
        <w:rPr>
          <w:rFonts w:ascii="Arial" w:hAnsi="Arial" w:cs="Arial"/>
        </w:rPr>
        <w:t xml:space="preserve">Therefore, the public interest in maintaining the exemption outweighs the public interest in disclosing the information as requested. </w:t>
      </w:r>
    </w:p>
    <w:p w14:paraId="495CFEA7" w14:textId="77777777" w:rsidR="00855DF5" w:rsidRPr="00855DF5" w:rsidRDefault="00855DF5" w:rsidP="00855DF5">
      <w:pPr>
        <w:pStyle w:val="PlainText"/>
        <w:rPr>
          <w:rFonts w:ascii="Arial" w:hAnsi="Arial" w:cs="Arial"/>
        </w:rPr>
      </w:pPr>
    </w:p>
    <w:p w14:paraId="0FA22E9A" w14:textId="77777777" w:rsidR="00855DF5" w:rsidRPr="00855DF5" w:rsidRDefault="00855DF5" w:rsidP="00855DF5">
      <w:pPr>
        <w:pStyle w:val="PlainText"/>
        <w:rPr>
          <w:rFonts w:ascii="Arial" w:hAnsi="Arial" w:cs="Arial"/>
          <w:b/>
          <w:bCs/>
        </w:rPr>
      </w:pPr>
      <w:r w:rsidRPr="00855DF5">
        <w:rPr>
          <w:rFonts w:ascii="Arial" w:hAnsi="Arial" w:cs="Arial"/>
          <w:b/>
          <w:bCs/>
        </w:rPr>
        <w:t>24National security.</w:t>
      </w:r>
    </w:p>
    <w:p w14:paraId="5BE28CEE" w14:textId="77777777" w:rsidR="00855DF5" w:rsidRPr="00855DF5" w:rsidRDefault="00855DF5" w:rsidP="00855DF5">
      <w:pPr>
        <w:pStyle w:val="PlainText"/>
        <w:rPr>
          <w:rFonts w:ascii="Arial" w:hAnsi="Arial" w:cs="Arial"/>
        </w:rPr>
      </w:pPr>
      <w:r w:rsidRPr="00855DF5">
        <w:rPr>
          <w:rFonts w:ascii="Arial" w:hAnsi="Arial" w:cs="Arial"/>
        </w:rPr>
        <w:t>(1)Information which does not fall within section 23(1) is exempt information if exemption from section 1(1)(b) is required for the purpose of safeguarding national security.</w:t>
      </w:r>
    </w:p>
    <w:p w14:paraId="1D456F23" w14:textId="77777777" w:rsidR="00855DF5" w:rsidRPr="00855DF5" w:rsidRDefault="00855DF5" w:rsidP="00855DF5">
      <w:pPr>
        <w:pStyle w:val="PlainText"/>
        <w:rPr>
          <w:rFonts w:ascii="Arial" w:hAnsi="Arial" w:cs="Arial"/>
          <w:b/>
          <w:bCs/>
        </w:rPr>
      </w:pPr>
    </w:p>
    <w:p w14:paraId="0BC5620B" w14:textId="77777777" w:rsidR="00855DF5" w:rsidRPr="00855DF5" w:rsidRDefault="00855DF5" w:rsidP="00855DF5">
      <w:pPr>
        <w:pStyle w:val="PlainText"/>
        <w:rPr>
          <w:rFonts w:ascii="Arial" w:hAnsi="Arial" w:cs="Arial"/>
        </w:rPr>
      </w:pPr>
      <w:r w:rsidRPr="00855DF5">
        <w:rPr>
          <w:rFonts w:ascii="Arial" w:hAnsi="Arial" w:cs="Arial"/>
        </w:rPr>
        <w:t xml:space="preserve">Disclosing this information would reveal information that would be helpful to those with malicious intent insight into our levels of resilience, thereby inviting them to disrupt our systems and therefore our operations as a fire and rescue service which can include national incidents. </w:t>
      </w:r>
    </w:p>
    <w:p w14:paraId="2E4EE8AF" w14:textId="77777777" w:rsidR="00855DF5" w:rsidRPr="00855DF5" w:rsidRDefault="00855DF5" w:rsidP="00855DF5">
      <w:pPr>
        <w:pStyle w:val="PlainText"/>
        <w:rPr>
          <w:rFonts w:ascii="Arial" w:hAnsi="Arial" w:cs="Arial"/>
          <w:b/>
          <w:bCs/>
        </w:rPr>
      </w:pPr>
    </w:p>
    <w:p w14:paraId="24414D41" w14:textId="77777777" w:rsidR="00855DF5" w:rsidRPr="00855DF5" w:rsidRDefault="00855DF5" w:rsidP="00855DF5">
      <w:pPr>
        <w:pStyle w:val="PlainText"/>
        <w:rPr>
          <w:rFonts w:ascii="Arial" w:hAnsi="Arial" w:cs="Arial"/>
        </w:rPr>
      </w:pPr>
      <w:r w:rsidRPr="00855DF5">
        <w:rPr>
          <w:rFonts w:ascii="Arial" w:hAnsi="Arial" w:cs="Arial"/>
        </w:rPr>
        <w:t>This is an absolute exemption and does not require a public interest test.</w:t>
      </w:r>
    </w:p>
    <w:p w14:paraId="783D7B9E" w14:textId="77777777" w:rsidR="00855DF5" w:rsidRPr="00855DF5" w:rsidRDefault="00855DF5" w:rsidP="00855DF5">
      <w:pPr>
        <w:pStyle w:val="PlainText"/>
        <w:rPr>
          <w:rFonts w:ascii="Arial" w:hAnsi="Arial" w:cs="Arial"/>
          <w:b/>
          <w:bCs/>
        </w:rPr>
      </w:pPr>
    </w:p>
    <w:p w14:paraId="69BC67C3" w14:textId="77777777" w:rsidR="00855DF5" w:rsidRPr="00855DF5" w:rsidRDefault="00855DF5" w:rsidP="00855DF5">
      <w:pPr>
        <w:pStyle w:val="PlainText"/>
        <w:rPr>
          <w:rFonts w:ascii="Arial" w:hAnsi="Arial" w:cs="Arial"/>
          <w:b/>
          <w:bCs/>
        </w:rPr>
      </w:pPr>
      <w:r w:rsidRPr="00855DF5">
        <w:rPr>
          <w:rFonts w:ascii="Arial" w:hAnsi="Arial" w:cs="Arial"/>
          <w:b/>
          <w:bCs/>
        </w:rPr>
        <w:t>38Health and safety.</w:t>
      </w:r>
    </w:p>
    <w:p w14:paraId="7BE59E58" w14:textId="77777777" w:rsidR="00855DF5" w:rsidRPr="00855DF5" w:rsidRDefault="00855DF5" w:rsidP="00855DF5">
      <w:pPr>
        <w:pStyle w:val="PlainText"/>
        <w:rPr>
          <w:rFonts w:ascii="Arial" w:hAnsi="Arial" w:cs="Arial"/>
        </w:rPr>
      </w:pPr>
      <w:r w:rsidRPr="00855DF5">
        <w:rPr>
          <w:rFonts w:ascii="Arial" w:hAnsi="Arial" w:cs="Arial"/>
        </w:rPr>
        <w:t>(1)Information is exempt information if its disclosure under this Act would, or would be likely to—</w:t>
      </w:r>
    </w:p>
    <w:p w14:paraId="32F8957F" w14:textId="77777777" w:rsidR="00855DF5" w:rsidRPr="00855DF5" w:rsidRDefault="00855DF5" w:rsidP="00855DF5">
      <w:pPr>
        <w:pStyle w:val="PlainText"/>
        <w:rPr>
          <w:rFonts w:ascii="Arial" w:hAnsi="Arial" w:cs="Arial"/>
        </w:rPr>
      </w:pPr>
      <w:r w:rsidRPr="00855DF5">
        <w:rPr>
          <w:rFonts w:ascii="Arial" w:hAnsi="Arial" w:cs="Arial"/>
        </w:rPr>
        <w:t>(a)endanger the physical or mental health of any individual, or</w:t>
      </w:r>
    </w:p>
    <w:p w14:paraId="058C08F9" w14:textId="77777777" w:rsidR="00855DF5" w:rsidRPr="00855DF5" w:rsidRDefault="00855DF5" w:rsidP="00855DF5">
      <w:pPr>
        <w:pStyle w:val="PlainText"/>
        <w:rPr>
          <w:rFonts w:ascii="Arial" w:hAnsi="Arial" w:cs="Arial"/>
        </w:rPr>
      </w:pPr>
      <w:r w:rsidRPr="00855DF5">
        <w:rPr>
          <w:rFonts w:ascii="Arial" w:hAnsi="Arial" w:cs="Arial"/>
        </w:rPr>
        <w:t>(b)endanger the safety of any individual.</w:t>
      </w:r>
    </w:p>
    <w:p w14:paraId="6840F825" w14:textId="77777777" w:rsidR="00855DF5" w:rsidRPr="00855DF5" w:rsidRDefault="00855DF5" w:rsidP="00855DF5">
      <w:pPr>
        <w:pStyle w:val="PlainText"/>
        <w:rPr>
          <w:rFonts w:ascii="Arial" w:hAnsi="Arial" w:cs="Arial"/>
        </w:rPr>
      </w:pPr>
    </w:p>
    <w:p w14:paraId="1F7C8C6B" w14:textId="77777777" w:rsidR="00855DF5" w:rsidRPr="00855DF5" w:rsidRDefault="00855DF5" w:rsidP="00855DF5">
      <w:pPr>
        <w:pStyle w:val="PlainText"/>
        <w:rPr>
          <w:rFonts w:ascii="Arial" w:hAnsi="Arial" w:cs="Arial"/>
        </w:rPr>
      </w:pPr>
      <w:r w:rsidRPr="00855DF5">
        <w:rPr>
          <w:rFonts w:ascii="Arial" w:hAnsi="Arial" w:cs="Arial"/>
        </w:rPr>
        <w:t>Disclosing this information would be likely to invite someone with malicious intent to disrupt our systems and operations as detailed above. Given our role as a fire and rescue service, disruption to our systems and operations will therefore endanger the safety of members of the public and our staff.</w:t>
      </w:r>
    </w:p>
    <w:p w14:paraId="0823AAB5" w14:textId="77777777" w:rsidR="00855DF5" w:rsidRPr="00855DF5" w:rsidRDefault="00855DF5" w:rsidP="00855DF5">
      <w:pPr>
        <w:pStyle w:val="PlainText"/>
        <w:rPr>
          <w:rFonts w:ascii="Arial" w:hAnsi="Arial" w:cs="Arial"/>
        </w:rPr>
      </w:pPr>
    </w:p>
    <w:p w14:paraId="5B58A051" w14:textId="77777777" w:rsidR="00855DF5" w:rsidRPr="00855DF5" w:rsidRDefault="00855DF5" w:rsidP="00855DF5">
      <w:pPr>
        <w:pStyle w:val="PlainText"/>
        <w:rPr>
          <w:rFonts w:ascii="Arial" w:hAnsi="Arial" w:cs="Arial"/>
        </w:rPr>
      </w:pPr>
      <w:r w:rsidRPr="00855DF5">
        <w:rPr>
          <w:rFonts w:ascii="Arial" w:hAnsi="Arial" w:cs="Arial"/>
        </w:rPr>
        <w:t xml:space="preserve">This exemption requires a public interest test. </w:t>
      </w:r>
    </w:p>
    <w:p w14:paraId="720B36F6" w14:textId="77777777" w:rsidR="00855DF5" w:rsidRPr="00855DF5" w:rsidRDefault="00855DF5" w:rsidP="00855DF5">
      <w:pPr>
        <w:pStyle w:val="PlainText"/>
        <w:rPr>
          <w:rFonts w:ascii="Arial" w:hAnsi="Arial" w:cs="Arial"/>
        </w:rPr>
      </w:pPr>
    </w:p>
    <w:p w14:paraId="33487F04" w14:textId="77777777" w:rsidR="00855DF5" w:rsidRPr="00855DF5" w:rsidRDefault="00855DF5" w:rsidP="00855DF5">
      <w:pPr>
        <w:pStyle w:val="PlainText"/>
        <w:rPr>
          <w:rFonts w:ascii="Arial" w:hAnsi="Arial" w:cs="Arial"/>
        </w:rPr>
      </w:pPr>
      <w:r w:rsidRPr="00855DF5">
        <w:rPr>
          <w:rFonts w:ascii="Arial" w:hAnsi="Arial" w:cs="Arial"/>
          <w:u w:val="single"/>
        </w:rPr>
        <w:t>Public Interest Test</w:t>
      </w:r>
    </w:p>
    <w:p w14:paraId="7F3D9BD5" w14:textId="77777777" w:rsidR="00855DF5" w:rsidRPr="00855DF5" w:rsidRDefault="00855DF5" w:rsidP="00855DF5">
      <w:pPr>
        <w:pStyle w:val="PlainText"/>
        <w:rPr>
          <w:rFonts w:ascii="Arial" w:hAnsi="Arial" w:cs="Arial"/>
        </w:rPr>
      </w:pPr>
      <w:r w:rsidRPr="00855DF5">
        <w:rPr>
          <w:rFonts w:ascii="Arial" w:hAnsi="Arial" w:cs="Arial"/>
        </w:rPr>
        <w:t>Factors favouring disclosure – There is a legitimate public interest that Humberside Fire and Rescue Service has strong and effective systems and controls in place to support effective service delivery.</w:t>
      </w:r>
    </w:p>
    <w:p w14:paraId="79904358" w14:textId="77777777" w:rsidR="00855DF5" w:rsidRPr="00855DF5" w:rsidRDefault="00855DF5" w:rsidP="00855DF5">
      <w:pPr>
        <w:pStyle w:val="PlainText"/>
        <w:rPr>
          <w:rFonts w:ascii="Arial" w:hAnsi="Arial" w:cs="Arial"/>
        </w:rPr>
      </w:pPr>
      <w:r w:rsidRPr="00855DF5">
        <w:rPr>
          <w:rFonts w:ascii="Arial" w:hAnsi="Arial" w:cs="Arial"/>
        </w:rPr>
        <w:t>Factors favouring non-disclosure – Disclosing this information will invite those with malicious intent to disrupt or exploit our systems, therefore disrupting our operations and putting the public and our staff at risk of danger.</w:t>
      </w:r>
    </w:p>
    <w:p w14:paraId="2E7488AC" w14:textId="77777777" w:rsidR="00855DF5" w:rsidRPr="00855DF5" w:rsidRDefault="00855DF5" w:rsidP="00855DF5">
      <w:pPr>
        <w:pStyle w:val="PlainText"/>
        <w:rPr>
          <w:rFonts w:ascii="Arial" w:hAnsi="Arial" w:cs="Arial"/>
        </w:rPr>
      </w:pPr>
      <w:r w:rsidRPr="00855DF5">
        <w:rPr>
          <w:rFonts w:ascii="Arial" w:hAnsi="Arial" w:cs="Arial"/>
          <w:u w:val="single"/>
        </w:rPr>
        <w:t>Balancing Test</w:t>
      </w:r>
    </w:p>
    <w:p w14:paraId="47ABF225" w14:textId="77777777" w:rsidR="00855DF5" w:rsidRPr="00855DF5" w:rsidRDefault="00855DF5" w:rsidP="00855DF5">
      <w:pPr>
        <w:pStyle w:val="PlainText"/>
        <w:rPr>
          <w:rFonts w:ascii="Arial" w:hAnsi="Arial" w:cs="Arial"/>
        </w:rPr>
      </w:pPr>
      <w:r w:rsidRPr="00855DF5">
        <w:rPr>
          <w:rFonts w:ascii="Arial" w:hAnsi="Arial" w:cs="Arial"/>
        </w:rPr>
        <w:t>It is not in the public interest to disclose this information as it would be likely to invite individuals with malicious intent to exploit our systems and disrupt our operations, therefore putting the public and our staff at risk of danger.</w:t>
      </w:r>
    </w:p>
    <w:p w14:paraId="670102DB" w14:textId="77777777" w:rsidR="005223D6" w:rsidRPr="005223D6" w:rsidRDefault="005223D6" w:rsidP="005223D6">
      <w:pPr>
        <w:pStyle w:val="PlainText"/>
        <w:rPr>
          <w:rFonts w:ascii="Arial" w:hAnsi="Arial" w:cs="Arial"/>
          <w:b/>
          <w:bCs/>
        </w:rPr>
      </w:pP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97278B"/>
    <w:multiLevelType w:val="multilevel"/>
    <w:tmpl w:val="57A85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7808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141D5"/>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41BFD"/>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55DF5"/>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53B03"/>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2026-04-27T09:28:00Z</dcterms:created>
  <dcterms:modified xsi:type="dcterms:W3CDTF">2026-04-27T09:30:00Z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