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26EB15D"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F04052">
        <w:rPr>
          <w:rFonts w:ascii="Arial" w:hAnsi="Arial" w:cs="Arial"/>
          <w:b/>
          <w:bCs/>
        </w:rPr>
        <w:t xml:space="preserve">121 – CAD, ICCS &amp; Rostering Systems </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AFE3E69"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b/>
          <w:bCs/>
          <w:color w:val="000000"/>
          <w:lang w:eastAsia="en-GB"/>
        </w:rPr>
        <w:t>SECTION A – Contract &amp; Commercial Information (Priority 1)</w:t>
      </w:r>
    </w:p>
    <w:p w14:paraId="56ACE6C9"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For each of the following systems, please provide the information requested below separately for CAD, ICCS, and Rostering where applicable.</w:t>
      </w:r>
    </w:p>
    <w:p w14:paraId="421E800A"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A1. Supplier &amp; Contract Details</w:t>
      </w:r>
    </w:p>
    <w:p w14:paraId="2722E35D"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Name of current supplier(s)</w:t>
      </w:r>
    </w:p>
    <w:p w14:paraId="00793790"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Contract reference number (if held)</w:t>
      </w:r>
    </w:p>
    <w:p w14:paraId="45553B72"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Contract start date</w:t>
      </w:r>
    </w:p>
    <w:p w14:paraId="71D65DBA"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Initial contract end date</w:t>
      </w:r>
    </w:p>
    <w:p w14:paraId="47D6A1A7"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Extension options available (duration and number)</w:t>
      </w:r>
    </w:p>
    <w:p w14:paraId="100471E4"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Whether any extensions have been exercised and revised end date</w:t>
      </w:r>
    </w:p>
    <w:p w14:paraId="1591F2BA"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Total contract value (including any exercised extensions)</w:t>
      </w:r>
    </w:p>
    <w:p w14:paraId="1B197435"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Annual contract value</w:t>
      </w:r>
    </w:p>
    <w:p w14:paraId="3A8BD64B" w14:textId="77777777" w:rsidR="00347C48" w:rsidRPr="00347C48" w:rsidRDefault="00347C48" w:rsidP="00347C48">
      <w:pPr>
        <w:numPr>
          <w:ilvl w:val="0"/>
          <w:numId w:val="47"/>
        </w:numPr>
        <w:spacing w:line="240" w:lineRule="auto"/>
        <w:rPr>
          <w:rFonts w:ascii="Arial" w:hAnsi="Arial" w:cs="Arial"/>
          <w:color w:val="000000"/>
          <w:lang w:eastAsia="en-GB"/>
        </w:rPr>
      </w:pPr>
      <w:r w:rsidRPr="00347C48">
        <w:rPr>
          <w:rFonts w:ascii="Arial" w:hAnsi="Arial" w:cs="Arial"/>
          <w:color w:val="000000"/>
          <w:lang w:eastAsia="en-GB"/>
        </w:rPr>
        <w:t>Pricing model used (e.g. per-seat, per-control room position, per-appliance, enterprise licence)</w:t>
      </w:r>
    </w:p>
    <w:p w14:paraId="21A8C833"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A2. Scope of Services Included</w:t>
      </w:r>
    </w:p>
    <w:p w14:paraId="631514E8"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Please confirm whether the contract includes the following elements:</w:t>
      </w:r>
    </w:p>
    <w:p w14:paraId="3ACFF3F4"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Software &amp; Support</w:t>
      </w:r>
    </w:p>
    <w:p w14:paraId="56CEB227" w14:textId="77777777" w:rsidR="00347C48" w:rsidRPr="00347C48" w:rsidRDefault="00347C48" w:rsidP="00347C48">
      <w:pPr>
        <w:numPr>
          <w:ilvl w:val="0"/>
          <w:numId w:val="48"/>
        </w:numPr>
        <w:spacing w:line="240" w:lineRule="auto"/>
        <w:rPr>
          <w:rFonts w:ascii="Arial" w:hAnsi="Arial" w:cs="Arial"/>
          <w:color w:val="000000"/>
          <w:lang w:eastAsia="en-GB"/>
        </w:rPr>
      </w:pPr>
      <w:r w:rsidRPr="00347C48">
        <w:rPr>
          <w:rFonts w:ascii="Arial" w:hAnsi="Arial" w:cs="Arial"/>
          <w:color w:val="000000"/>
          <w:lang w:eastAsia="en-GB"/>
        </w:rPr>
        <w:t>Core software licence</w:t>
      </w:r>
    </w:p>
    <w:p w14:paraId="52956C31" w14:textId="77777777" w:rsidR="00347C48" w:rsidRPr="00347C48" w:rsidRDefault="00347C48" w:rsidP="00347C48">
      <w:pPr>
        <w:numPr>
          <w:ilvl w:val="0"/>
          <w:numId w:val="48"/>
        </w:numPr>
        <w:spacing w:line="240" w:lineRule="auto"/>
        <w:rPr>
          <w:rFonts w:ascii="Arial" w:hAnsi="Arial" w:cs="Arial"/>
          <w:color w:val="000000"/>
          <w:lang w:eastAsia="en-GB"/>
        </w:rPr>
      </w:pPr>
      <w:r w:rsidRPr="00347C48">
        <w:rPr>
          <w:rFonts w:ascii="Arial" w:hAnsi="Arial" w:cs="Arial"/>
          <w:color w:val="000000"/>
          <w:lang w:eastAsia="en-GB"/>
        </w:rPr>
        <w:t>1st / 2nd / 3rd line support (and support hours)</w:t>
      </w:r>
    </w:p>
    <w:p w14:paraId="49646E77" w14:textId="77777777" w:rsidR="00347C48" w:rsidRPr="00347C48" w:rsidRDefault="00347C48" w:rsidP="00347C48">
      <w:pPr>
        <w:numPr>
          <w:ilvl w:val="0"/>
          <w:numId w:val="48"/>
        </w:numPr>
        <w:spacing w:line="240" w:lineRule="auto"/>
        <w:rPr>
          <w:rFonts w:ascii="Arial" w:hAnsi="Arial" w:cs="Arial"/>
          <w:color w:val="000000"/>
          <w:lang w:eastAsia="en-GB"/>
        </w:rPr>
      </w:pPr>
      <w:r w:rsidRPr="00347C48">
        <w:rPr>
          <w:rFonts w:ascii="Arial" w:hAnsi="Arial" w:cs="Arial"/>
          <w:color w:val="000000"/>
          <w:lang w:eastAsia="en-GB"/>
        </w:rPr>
        <w:t>Hosting or infrastructure provision</w:t>
      </w:r>
    </w:p>
    <w:p w14:paraId="2CEE9CD4" w14:textId="77777777" w:rsidR="00347C48" w:rsidRPr="00347C48" w:rsidRDefault="00347C48" w:rsidP="00347C48">
      <w:pPr>
        <w:numPr>
          <w:ilvl w:val="0"/>
          <w:numId w:val="48"/>
        </w:numPr>
        <w:spacing w:line="240" w:lineRule="auto"/>
        <w:rPr>
          <w:rFonts w:ascii="Arial" w:hAnsi="Arial" w:cs="Arial"/>
          <w:color w:val="000000"/>
          <w:lang w:eastAsia="en-GB"/>
        </w:rPr>
      </w:pPr>
      <w:r w:rsidRPr="00347C48">
        <w:rPr>
          <w:rFonts w:ascii="Arial" w:hAnsi="Arial" w:cs="Arial"/>
          <w:color w:val="000000"/>
          <w:lang w:eastAsia="en-GB"/>
        </w:rPr>
        <w:t>Software upgrades and release management</w:t>
      </w:r>
    </w:p>
    <w:p w14:paraId="5903436F" w14:textId="77777777" w:rsidR="00347C48" w:rsidRPr="00347C48" w:rsidRDefault="00347C48" w:rsidP="00347C48">
      <w:pPr>
        <w:numPr>
          <w:ilvl w:val="0"/>
          <w:numId w:val="48"/>
        </w:numPr>
        <w:spacing w:line="240" w:lineRule="auto"/>
        <w:rPr>
          <w:rFonts w:ascii="Arial" w:hAnsi="Arial" w:cs="Arial"/>
          <w:color w:val="000000"/>
          <w:lang w:eastAsia="en-GB"/>
        </w:rPr>
      </w:pPr>
      <w:r w:rsidRPr="00347C48">
        <w:rPr>
          <w:rFonts w:ascii="Arial" w:hAnsi="Arial" w:cs="Arial"/>
          <w:color w:val="000000"/>
          <w:lang w:eastAsia="en-GB"/>
        </w:rPr>
        <w:t>Contractual uptime or availability targets</w:t>
      </w:r>
    </w:p>
    <w:p w14:paraId="6D3EF208"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Hosting Model</w:t>
      </w:r>
    </w:p>
    <w:p w14:paraId="22D80EA6" w14:textId="77777777" w:rsidR="00347C48" w:rsidRPr="00347C48" w:rsidRDefault="00347C48" w:rsidP="00347C48">
      <w:pPr>
        <w:numPr>
          <w:ilvl w:val="0"/>
          <w:numId w:val="49"/>
        </w:numPr>
        <w:spacing w:line="240" w:lineRule="auto"/>
        <w:rPr>
          <w:rFonts w:ascii="Arial" w:hAnsi="Arial" w:cs="Arial"/>
          <w:color w:val="000000"/>
          <w:lang w:eastAsia="en-GB"/>
        </w:rPr>
      </w:pPr>
      <w:r w:rsidRPr="00347C48">
        <w:rPr>
          <w:rFonts w:ascii="Arial" w:hAnsi="Arial" w:cs="Arial"/>
          <w:color w:val="000000"/>
          <w:lang w:eastAsia="en-GB"/>
        </w:rPr>
        <w:t>SaaS / cloud hosted</w:t>
      </w:r>
    </w:p>
    <w:p w14:paraId="55B6C5F4" w14:textId="77777777" w:rsidR="00347C48" w:rsidRPr="00347C48" w:rsidRDefault="00347C48" w:rsidP="00347C48">
      <w:pPr>
        <w:numPr>
          <w:ilvl w:val="0"/>
          <w:numId w:val="49"/>
        </w:numPr>
        <w:spacing w:line="240" w:lineRule="auto"/>
        <w:rPr>
          <w:rFonts w:ascii="Arial" w:hAnsi="Arial" w:cs="Arial"/>
          <w:color w:val="000000"/>
          <w:lang w:eastAsia="en-GB"/>
        </w:rPr>
      </w:pPr>
      <w:r w:rsidRPr="00347C48">
        <w:rPr>
          <w:rFonts w:ascii="Arial" w:hAnsi="Arial" w:cs="Arial"/>
          <w:color w:val="000000"/>
          <w:lang w:eastAsia="en-GB"/>
        </w:rPr>
        <w:t>Private cloud</w:t>
      </w:r>
    </w:p>
    <w:p w14:paraId="5FD4FEB3" w14:textId="77777777" w:rsidR="00347C48" w:rsidRPr="00347C48" w:rsidRDefault="00347C48" w:rsidP="00347C48">
      <w:pPr>
        <w:numPr>
          <w:ilvl w:val="0"/>
          <w:numId w:val="49"/>
        </w:numPr>
        <w:spacing w:line="240" w:lineRule="auto"/>
        <w:rPr>
          <w:rFonts w:ascii="Arial" w:hAnsi="Arial" w:cs="Arial"/>
          <w:color w:val="000000"/>
          <w:lang w:eastAsia="en-GB"/>
        </w:rPr>
      </w:pPr>
      <w:proofErr w:type="gramStart"/>
      <w:r w:rsidRPr="00347C48">
        <w:rPr>
          <w:rFonts w:ascii="Arial" w:hAnsi="Arial" w:cs="Arial"/>
          <w:color w:val="000000"/>
          <w:lang w:eastAsia="en-GB"/>
        </w:rPr>
        <w:t>On-premise</w:t>
      </w:r>
      <w:proofErr w:type="gramEnd"/>
    </w:p>
    <w:p w14:paraId="093C09CC" w14:textId="77777777" w:rsidR="00347C48" w:rsidRPr="00347C48" w:rsidRDefault="00347C48" w:rsidP="00347C48">
      <w:pPr>
        <w:numPr>
          <w:ilvl w:val="0"/>
          <w:numId w:val="49"/>
        </w:numPr>
        <w:spacing w:line="240" w:lineRule="auto"/>
        <w:rPr>
          <w:rFonts w:ascii="Arial" w:hAnsi="Arial" w:cs="Arial"/>
          <w:color w:val="000000"/>
          <w:lang w:eastAsia="en-GB"/>
        </w:rPr>
      </w:pPr>
      <w:r w:rsidRPr="00347C48">
        <w:rPr>
          <w:rFonts w:ascii="Arial" w:hAnsi="Arial" w:cs="Arial"/>
          <w:color w:val="000000"/>
          <w:lang w:eastAsia="en-GB"/>
        </w:rPr>
        <w:t>Hybrid</w:t>
      </w:r>
    </w:p>
    <w:p w14:paraId="5F5098BF"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Interfaces &amp; Integrations</w:t>
      </w:r>
    </w:p>
    <w:p w14:paraId="3200B5B9" w14:textId="77777777" w:rsidR="00347C48" w:rsidRPr="00347C48" w:rsidRDefault="00347C48" w:rsidP="00347C48">
      <w:pPr>
        <w:numPr>
          <w:ilvl w:val="0"/>
          <w:numId w:val="50"/>
        </w:numPr>
        <w:spacing w:line="240" w:lineRule="auto"/>
        <w:rPr>
          <w:rFonts w:ascii="Arial" w:hAnsi="Arial" w:cs="Arial"/>
          <w:color w:val="000000"/>
          <w:lang w:eastAsia="en-GB"/>
        </w:rPr>
      </w:pPr>
      <w:r w:rsidRPr="00347C48">
        <w:rPr>
          <w:rFonts w:ascii="Arial" w:hAnsi="Arial" w:cs="Arial"/>
          <w:color w:val="000000"/>
          <w:lang w:eastAsia="en-GB"/>
        </w:rPr>
        <w:t>Interfaces between CAD and ICCS</w:t>
      </w:r>
    </w:p>
    <w:p w14:paraId="604847FB" w14:textId="77777777" w:rsidR="00347C48" w:rsidRPr="00347C48" w:rsidRDefault="00347C48" w:rsidP="00347C48">
      <w:pPr>
        <w:numPr>
          <w:ilvl w:val="0"/>
          <w:numId w:val="50"/>
        </w:numPr>
        <w:spacing w:line="240" w:lineRule="auto"/>
        <w:rPr>
          <w:rFonts w:ascii="Arial" w:hAnsi="Arial" w:cs="Arial"/>
          <w:color w:val="000000"/>
          <w:lang w:eastAsia="en-GB"/>
        </w:rPr>
      </w:pPr>
      <w:r w:rsidRPr="00347C48">
        <w:rPr>
          <w:rFonts w:ascii="Arial" w:hAnsi="Arial" w:cs="Arial"/>
          <w:color w:val="000000"/>
          <w:lang w:eastAsia="en-GB"/>
        </w:rPr>
        <w:t>Interfaces with mobilising, mapping, AVL, or other operational systems</w:t>
      </w:r>
    </w:p>
    <w:p w14:paraId="4FFE56DA" w14:textId="77777777" w:rsidR="00347C48" w:rsidRPr="00347C48" w:rsidRDefault="00347C48" w:rsidP="00347C48">
      <w:pPr>
        <w:numPr>
          <w:ilvl w:val="0"/>
          <w:numId w:val="50"/>
        </w:numPr>
        <w:spacing w:line="240" w:lineRule="auto"/>
        <w:rPr>
          <w:rFonts w:ascii="Arial" w:hAnsi="Arial" w:cs="Arial"/>
          <w:color w:val="000000"/>
          <w:lang w:eastAsia="en-GB"/>
        </w:rPr>
      </w:pPr>
      <w:r w:rsidRPr="00347C48">
        <w:rPr>
          <w:rFonts w:ascii="Arial" w:hAnsi="Arial" w:cs="Arial"/>
          <w:color w:val="000000"/>
          <w:lang w:eastAsia="en-GB"/>
        </w:rPr>
        <w:t>Any third-party integration tools or middleware</w:t>
      </w:r>
    </w:p>
    <w:p w14:paraId="6B56CDE6"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b/>
          <w:bCs/>
          <w:color w:val="000000"/>
          <w:lang w:eastAsia="en-GB"/>
        </w:rPr>
        <w:lastRenderedPageBreak/>
        <w:t>SECTION B – Contract Performance &amp; Service Management (Priority 2)</w:t>
      </w:r>
    </w:p>
    <w:p w14:paraId="7C25CF30"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Where held, please provide:</w:t>
      </w:r>
    </w:p>
    <w:p w14:paraId="518A4E29" w14:textId="77777777" w:rsidR="00347C48" w:rsidRPr="00347C48" w:rsidRDefault="00347C48" w:rsidP="00347C48">
      <w:pPr>
        <w:numPr>
          <w:ilvl w:val="0"/>
          <w:numId w:val="51"/>
        </w:numPr>
        <w:spacing w:line="240" w:lineRule="auto"/>
        <w:rPr>
          <w:rFonts w:ascii="Arial" w:hAnsi="Arial" w:cs="Arial"/>
          <w:color w:val="000000"/>
          <w:lang w:eastAsia="en-GB"/>
        </w:rPr>
      </w:pPr>
      <w:r w:rsidRPr="00347C48">
        <w:rPr>
          <w:rFonts w:ascii="Arial" w:hAnsi="Arial" w:cs="Arial"/>
          <w:color w:val="000000"/>
          <w:lang w:eastAsia="en-GB"/>
        </w:rPr>
        <w:t>Contractual service level indicators (SLAs / KPIs)</w:t>
      </w:r>
    </w:p>
    <w:p w14:paraId="41E5601F" w14:textId="77777777" w:rsidR="00347C48" w:rsidRPr="00347C48" w:rsidRDefault="00347C48" w:rsidP="00347C48">
      <w:pPr>
        <w:numPr>
          <w:ilvl w:val="0"/>
          <w:numId w:val="51"/>
        </w:numPr>
        <w:spacing w:line="240" w:lineRule="auto"/>
        <w:rPr>
          <w:rFonts w:ascii="Arial" w:hAnsi="Arial" w:cs="Arial"/>
          <w:color w:val="000000"/>
          <w:lang w:eastAsia="en-GB"/>
        </w:rPr>
      </w:pPr>
      <w:r w:rsidRPr="00347C48">
        <w:rPr>
          <w:rFonts w:ascii="Arial" w:hAnsi="Arial" w:cs="Arial"/>
          <w:color w:val="000000"/>
          <w:lang w:eastAsia="en-GB"/>
        </w:rPr>
        <w:t>Any documented performance reporting or review outputs from the last 24 months</w:t>
      </w:r>
    </w:p>
    <w:p w14:paraId="17A56E50" w14:textId="77777777" w:rsidR="00347C48" w:rsidRPr="00347C48" w:rsidRDefault="00347C48" w:rsidP="00347C48">
      <w:pPr>
        <w:numPr>
          <w:ilvl w:val="0"/>
          <w:numId w:val="51"/>
        </w:numPr>
        <w:spacing w:line="240" w:lineRule="auto"/>
        <w:rPr>
          <w:rFonts w:ascii="Arial" w:hAnsi="Arial" w:cs="Arial"/>
          <w:color w:val="000000"/>
          <w:lang w:eastAsia="en-GB"/>
        </w:rPr>
      </w:pPr>
      <w:r w:rsidRPr="00347C48">
        <w:rPr>
          <w:rFonts w:ascii="Arial" w:hAnsi="Arial" w:cs="Arial"/>
          <w:color w:val="000000"/>
          <w:lang w:eastAsia="en-GB"/>
        </w:rPr>
        <w:t>Whether any service credits, penalties, or formal escalations have been applied</w:t>
      </w:r>
    </w:p>
    <w:p w14:paraId="4085BFDD"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b/>
          <w:bCs/>
          <w:color w:val="000000"/>
          <w:lang w:eastAsia="en-GB"/>
        </w:rPr>
        <w:t>SECTION C – Procurement &amp; Contractual Documentation (Priority 3)</w:t>
      </w:r>
    </w:p>
    <w:p w14:paraId="661E6217"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For the procurement leading to the current contract(s):</w:t>
      </w:r>
    </w:p>
    <w:p w14:paraId="36A60045" w14:textId="77777777" w:rsidR="00347C48" w:rsidRPr="00347C48" w:rsidRDefault="00347C48" w:rsidP="00347C48">
      <w:pPr>
        <w:numPr>
          <w:ilvl w:val="0"/>
          <w:numId w:val="52"/>
        </w:numPr>
        <w:spacing w:line="240" w:lineRule="auto"/>
        <w:rPr>
          <w:rFonts w:ascii="Arial" w:hAnsi="Arial" w:cs="Arial"/>
          <w:color w:val="000000"/>
          <w:lang w:eastAsia="en-GB"/>
        </w:rPr>
      </w:pPr>
      <w:r w:rsidRPr="00347C48">
        <w:rPr>
          <w:rFonts w:ascii="Arial" w:hAnsi="Arial" w:cs="Arial"/>
          <w:color w:val="000000"/>
          <w:lang w:eastAsia="en-GB"/>
        </w:rPr>
        <w:t>Procurement route used (Open, Framework, Direct Award, Further Competition)</w:t>
      </w:r>
    </w:p>
    <w:p w14:paraId="196530D5" w14:textId="77777777" w:rsidR="00347C48" w:rsidRPr="00347C48" w:rsidRDefault="00347C48" w:rsidP="00347C48">
      <w:pPr>
        <w:numPr>
          <w:ilvl w:val="0"/>
          <w:numId w:val="52"/>
        </w:numPr>
        <w:spacing w:line="240" w:lineRule="auto"/>
        <w:rPr>
          <w:rFonts w:ascii="Arial" w:hAnsi="Arial" w:cs="Arial"/>
          <w:color w:val="000000"/>
          <w:lang w:eastAsia="en-GB"/>
        </w:rPr>
      </w:pPr>
      <w:r w:rsidRPr="00347C48">
        <w:rPr>
          <w:rFonts w:ascii="Arial" w:hAnsi="Arial" w:cs="Arial"/>
          <w:color w:val="000000"/>
          <w:lang w:eastAsia="en-GB"/>
        </w:rPr>
        <w:t>If via framework: framework name, lot number and call-off reference</w:t>
      </w:r>
    </w:p>
    <w:p w14:paraId="5A0F2615" w14:textId="77777777" w:rsidR="00347C48" w:rsidRPr="00347C48" w:rsidRDefault="00347C48" w:rsidP="00347C48">
      <w:pPr>
        <w:numPr>
          <w:ilvl w:val="0"/>
          <w:numId w:val="52"/>
        </w:numPr>
        <w:spacing w:line="240" w:lineRule="auto"/>
        <w:rPr>
          <w:rFonts w:ascii="Arial" w:hAnsi="Arial" w:cs="Arial"/>
          <w:color w:val="000000"/>
          <w:lang w:eastAsia="en-GB"/>
        </w:rPr>
      </w:pPr>
      <w:r w:rsidRPr="00347C48">
        <w:rPr>
          <w:rFonts w:ascii="Arial" w:hAnsi="Arial" w:cs="Arial"/>
          <w:color w:val="000000"/>
          <w:lang w:eastAsia="en-GB"/>
        </w:rPr>
        <w:t>Copies of:</w:t>
      </w:r>
    </w:p>
    <w:p w14:paraId="1234D124"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Signed contract (including schedules)</w:t>
      </w:r>
    </w:p>
    <w:p w14:paraId="0F481FEF"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Any material contract variations or extensions</w:t>
      </w:r>
    </w:p>
    <w:p w14:paraId="5CFDBCBC"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Any change control notices relating to scope or cost (where held)</w:t>
      </w:r>
    </w:p>
    <w:p w14:paraId="0D3E58E2"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 xml:space="preserve">Redactions are acceptable </w:t>
      </w:r>
      <w:proofErr w:type="gramStart"/>
      <w:r w:rsidRPr="00347C48">
        <w:rPr>
          <w:rFonts w:ascii="Arial" w:hAnsi="Arial" w:cs="Arial"/>
          <w:color w:val="000000"/>
          <w:lang w:eastAsia="en-GB"/>
        </w:rPr>
        <w:t>where</w:t>
      </w:r>
      <w:proofErr w:type="gramEnd"/>
      <w:r w:rsidRPr="00347C48">
        <w:rPr>
          <w:rFonts w:ascii="Arial" w:hAnsi="Arial" w:cs="Arial"/>
          <w:color w:val="000000"/>
          <w:lang w:eastAsia="en-GB"/>
        </w:rPr>
        <w:t xml:space="preserve"> commercially sensitive.</w:t>
      </w:r>
    </w:p>
    <w:p w14:paraId="2BE48EC0"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b/>
          <w:bCs/>
          <w:color w:val="000000"/>
          <w:lang w:eastAsia="en-GB"/>
        </w:rPr>
        <w:t>SECTION D – Renewal, Strategy &amp; Market Engagement (Priority 4)</w:t>
      </w:r>
    </w:p>
    <w:p w14:paraId="7A451B83"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Where information is held, please confirm:</w:t>
      </w:r>
    </w:p>
    <w:p w14:paraId="483D6088" w14:textId="77777777" w:rsidR="00347C48" w:rsidRPr="00347C48" w:rsidRDefault="00347C48" w:rsidP="00347C48">
      <w:pPr>
        <w:numPr>
          <w:ilvl w:val="0"/>
          <w:numId w:val="53"/>
        </w:numPr>
        <w:spacing w:line="240" w:lineRule="auto"/>
        <w:rPr>
          <w:rFonts w:ascii="Arial" w:hAnsi="Arial" w:cs="Arial"/>
          <w:color w:val="000000"/>
          <w:lang w:eastAsia="en-GB"/>
        </w:rPr>
      </w:pPr>
      <w:r w:rsidRPr="00347C48">
        <w:rPr>
          <w:rFonts w:ascii="Arial" w:hAnsi="Arial" w:cs="Arial"/>
          <w:color w:val="000000"/>
          <w:lang w:eastAsia="en-GB"/>
        </w:rPr>
        <w:t>Whether there is an intention to re-procure, extend, or replace:</w:t>
      </w:r>
    </w:p>
    <w:p w14:paraId="75AD29A1"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CAD</w:t>
      </w:r>
    </w:p>
    <w:p w14:paraId="0F22F8BB"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ICCS</w:t>
      </w:r>
    </w:p>
    <w:p w14:paraId="4BACDF7F"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o   Rostering</w:t>
      </w:r>
    </w:p>
    <w:p w14:paraId="4206E281" w14:textId="77777777" w:rsidR="00347C48" w:rsidRPr="00347C48" w:rsidRDefault="00347C48" w:rsidP="00347C48">
      <w:pPr>
        <w:numPr>
          <w:ilvl w:val="0"/>
          <w:numId w:val="53"/>
        </w:numPr>
        <w:spacing w:line="240" w:lineRule="auto"/>
        <w:rPr>
          <w:rFonts w:ascii="Arial" w:hAnsi="Arial" w:cs="Arial"/>
          <w:color w:val="000000"/>
          <w:lang w:eastAsia="en-GB"/>
        </w:rPr>
      </w:pPr>
      <w:r w:rsidRPr="00347C48">
        <w:rPr>
          <w:rFonts w:ascii="Arial" w:hAnsi="Arial" w:cs="Arial"/>
          <w:color w:val="000000"/>
          <w:lang w:eastAsia="en-GB"/>
        </w:rPr>
        <w:t>Indicative timescales for any planned market engagement</w:t>
      </w:r>
    </w:p>
    <w:p w14:paraId="1D2C40C3" w14:textId="77777777" w:rsidR="00347C48" w:rsidRPr="00347C48" w:rsidRDefault="00347C48" w:rsidP="00347C48">
      <w:pPr>
        <w:numPr>
          <w:ilvl w:val="0"/>
          <w:numId w:val="53"/>
        </w:numPr>
        <w:spacing w:line="240" w:lineRule="auto"/>
        <w:rPr>
          <w:rFonts w:ascii="Arial" w:hAnsi="Arial" w:cs="Arial"/>
          <w:color w:val="000000"/>
          <w:lang w:eastAsia="en-GB"/>
        </w:rPr>
      </w:pPr>
      <w:r w:rsidRPr="00347C48">
        <w:rPr>
          <w:rFonts w:ascii="Arial" w:hAnsi="Arial" w:cs="Arial"/>
          <w:color w:val="000000"/>
          <w:lang w:eastAsia="en-GB"/>
        </w:rPr>
        <w:t>Whether any soft-market testing, PIN notices, or supplier briefings have been conducted or are planned</w:t>
      </w:r>
    </w:p>
    <w:p w14:paraId="45BD40C5"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b/>
          <w:bCs/>
          <w:color w:val="000000"/>
          <w:lang w:eastAsia="en-GB"/>
        </w:rPr>
        <w:t>SECTION E – Organisational Context (Priority 5)</w:t>
      </w:r>
    </w:p>
    <w:p w14:paraId="086AADCC" w14:textId="77777777" w:rsidR="00347C48" w:rsidRPr="00347C48" w:rsidRDefault="00347C48" w:rsidP="00347C48">
      <w:pPr>
        <w:spacing w:line="240" w:lineRule="auto"/>
        <w:rPr>
          <w:rFonts w:ascii="Arial" w:hAnsi="Arial" w:cs="Arial"/>
          <w:color w:val="000000"/>
          <w:lang w:eastAsia="en-GB"/>
        </w:rPr>
      </w:pPr>
      <w:r w:rsidRPr="00347C48">
        <w:rPr>
          <w:rFonts w:ascii="Arial" w:hAnsi="Arial" w:cs="Arial"/>
          <w:color w:val="000000"/>
          <w:lang w:eastAsia="en-GB"/>
        </w:rPr>
        <w:t>For context only:</w:t>
      </w:r>
    </w:p>
    <w:p w14:paraId="7F9A119E" w14:textId="77777777" w:rsidR="00347C48" w:rsidRPr="00347C48" w:rsidRDefault="00347C48" w:rsidP="00347C48">
      <w:pPr>
        <w:numPr>
          <w:ilvl w:val="0"/>
          <w:numId w:val="54"/>
        </w:numPr>
        <w:spacing w:line="240" w:lineRule="auto"/>
        <w:rPr>
          <w:rFonts w:ascii="Arial" w:hAnsi="Arial" w:cs="Arial"/>
          <w:color w:val="000000"/>
          <w:lang w:eastAsia="en-GB"/>
        </w:rPr>
      </w:pPr>
      <w:r w:rsidRPr="00347C48">
        <w:rPr>
          <w:rFonts w:ascii="Arial" w:hAnsi="Arial" w:cs="Arial"/>
          <w:color w:val="000000"/>
          <w:lang w:eastAsia="en-GB"/>
        </w:rPr>
        <w:t>Number of control rooms operated</w:t>
      </w:r>
    </w:p>
    <w:p w14:paraId="54A2E889" w14:textId="77777777" w:rsidR="00347C48" w:rsidRPr="00347C48" w:rsidRDefault="00347C48" w:rsidP="00347C48">
      <w:pPr>
        <w:numPr>
          <w:ilvl w:val="0"/>
          <w:numId w:val="54"/>
        </w:numPr>
        <w:spacing w:line="240" w:lineRule="auto"/>
        <w:rPr>
          <w:rFonts w:ascii="Arial" w:hAnsi="Arial" w:cs="Arial"/>
          <w:color w:val="000000"/>
          <w:lang w:eastAsia="en-GB"/>
        </w:rPr>
      </w:pPr>
      <w:r w:rsidRPr="00347C48">
        <w:rPr>
          <w:rFonts w:ascii="Arial" w:hAnsi="Arial" w:cs="Arial"/>
          <w:color w:val="000000"/>
          <w:lang w:eastAsia="en-GB"/>
        </w:rPr>
        <w:t>Approximate number of ICCS operator positions</w:t>
      </w:r>
    </w:p>
    <w:p w14:paraId="08BFBFA4" w14:textId="77777777" w:rsidR="00347C48" w:rsidRPr="00347C48" w:rsidRDefault="00347C48" w:rsidP="00347C48">
      <w:pPr>
        <w:numPr>
          <w:ilvl w:val="0"/>
          <w:numId w:val="54"/>
        </w:numPr>
        <w:spacing w:line="240" w:lineRule="auto"/>
        <w:rPr>
          <w:rFonts w:ascii="Arial" w:hAnsi="Arial" w:cs="Arial"/>
          <w:color w:val="000000"/>
          <w:lang w:eastAsia="en-GB"/>
        </w:rPr>
      </w:pPr>
      <w:r w:rsidRPr="00347C48">
        <w:rPr>
          <w:rFonts w:ascii="Arial" w:hAnsi="Arial" w:cs="Arial"/>
          <w:color w:val="000000"/>
          <w:lang w:eastAsia="en-GB"/>
        </w:rPr>
        <w:t>Approximate number of operational staff covered by the rostering system</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F999FBA" w14:textId="77777777" w:rsidR="003D1037" w:rsidRPr="003D1037" w:rsidRDefault="00BF2263" w:rsidP="003D1037">
      <w:pPr>
        <w:pStyle w:val="PlainText"/>
        <w:rPr>
          <w:rFonts w:ascii="Arial" w:hAnsi="Arial" w:cs="Arial"/>
        </w:rPr>
      </w:pPr>
      <w:r w:rsidRPr="00BF2263">
        <w:rPr>
          <w:rFonts w:ascii="Arial" w:hAnsi="Arial" w:cs="Arial"/>
        </w:rPr>
        <w:t> </w:t>
      </w:r>
      <w:r w:rsidR="003D1037" w:rsidRPr="003D1037">
        <w:rPr>
          <w:rFonts w:ascii="Arial" w:hAnsi="Arial" w:cs="Arial"/>
          <w:b/>
          <w:bCs/>
        </w:rPr>
        <w:t>SECTION A – Contract &amp; Commercial Information (Priority 1)</w:t>
      </w:r>
    </w:p>
    <w:p w14:paraId="03918A20" w14:textId="77777777" w:rsidR="003D1037" w:rsidRPr="003D1037" w:rsidRDefault="003D1037" w:rsidP="003D1037">
      <w:pPr>
        <w:pStyle w:val="PlainText"/>
        <w:rPr>
          <w:rFonts w:ascii="Arial" w:hAnsi="Arial" w:cs="Arial"/>
        </w:rPr>
      </w:pPr>
      <w:r w:rsidRPr="003D1037">
        <w:rPr>
          <w:rFonts w:ascii="Arial" w:hAnsi="Arial" w:cs="Arial"/>
        </w:rPr>
        <w:t>For each of the following systems, please provide the information requested below separately for CAD, ICCS, and Rostering where applicable.</w:t>
      </w:r>
    </w:p>
    <w:p w14:paraId="016CA227" w14:textId="77777777" w:rsidR="003D1037" w:rsidRPr="003D1037" w:rsidRDefault="003D1037" w:rsidP="003D1037">
      <w:pPr>
        <w:pStyle w:val="PlainText"/>
        <w:rPr>
          <w:rFonts w:ascii="Arial" w:hAnsi="Arial" w:cs="Arial"/>
        </w:rPr>
      </w:pPr>
      <w:r w:rsidRPr="003D1037">
        <w:rPr>
          <w:rFonts w:ascii="Arial" w:hAnsi="Arial" w:cs="Arial"/>
        </w:rPr>
        <w:t>A1. Supplier &amp; Contract Details</w:t>
      </w:r>
    </w:p>
    <w:p w14:paraId="3F95724F"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Name of current supplier(s) -  </w:t>
      </w:r>
    </w:p>
    <w:p w14:paraId="634F06C2" w14:textId="77777777" w:rsidR="003D1037" w:rsidRPr="003D1037" w:rsidRDefault="003D1037" w:rsidP="003D1037">
      <w:pPr>
        <w:pStyle w:val="PlainText"/>
        <w:rPr>
          <w:rFonts w:ascii="Arial" w:hAnsi="Arial" w:cs="Arial"/>
          <w:b/>
          <w:bCs/>
        </w:rPr>
      </w:pPr>
      <w:r w:rsidRPr="003D1037">
        <w:rPr>
          <w:rFonts w:ascii="Arial" w:hAnsi="Arial" w:cs="Arial"/>
          <w:b/>
          <w:bCs/>
        </w:rPr>
        <w:t>CAD&amp;ICCS – SSS Public Safety Systems</w:t>
      </w:r>
    </w:p>
    <w:p w14:paraId="69C31F69" w14:textId="77777777" w:rsidR="003D1037" w:rsidRPr="003D1037" w:rsidRDefault="003D1037" w:rsidP="003D1037">
      <w:pPr>
        <w:pStyle w:val="PlainText"/>
        <w:rPr>
          <w:rFonts w:ascii="Arial" w:hAnsi="Arial" w:cs="Arial"/>
          <w:b/>
          <w:bCs/>
        </w:rPr>
      </w:pPr>
      <w:r w:rsidRPr="003D1037">
        <w:rPr>
          <w:rFonts w:ascii="Arial" w:hAnsi="Arial" w:cs="Arial"/>
          <w:b/>
          <w:bCs/>
        </w:rPr>
        <w:t xml:space="preserve">Rota System – </w:t>
      </w:r>
      <w:proofErr w:type="spellStart"/>
      <w:r w:rsidRPr="003D1037">
        <w:rPr>
          <w:rFonts w:ascii="Arial" w:hAnsi="Arial" w:cs="Arial"/>
          <w:b/>
          <w:bCs/>
        </w:rPr>
        <w:t>FireServiceRota</w:t>
      </w:r>
      <w:proofErr w:type="spellEnd"/>
      <w:r w:rsidRPr="003D1037">
        <w:rPr>
          <w:rFonts w:ascii="Arial" w:hAnsi="Arial" w:cs="Arial"/>
          <w:b/>
          <w:bCs/>
        </w:rPr>
        <w:t xml:space="preserve"> B.V</w:t>
      </w:r>
    </w:p>
    <w:p w14:paraId="7D98DE4D"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Contract reference number (if held) </w:t>
      </w:r>
    </w:p>
    <w:p w14:paraId="6C952409" w14:textId="77777777" w:rsidR="003D1037" w:rsidRPr="003D1037" w:rsidRDefault="003D1037" w:rsidP="003D1037">
      <w:pPr>
        <w:pStyle w:val="PlainText"/>
        <w:rPr>
          <w:rFonts w:ascii="Arial" w:hAnsi="Arial" w:cs="Arial"/>
          <w:b/>
          <w:bCs/>
        </w:rPr>
      </w:pPr>
      <w:r w:rsidRPr="003D1037">
        <w:rPr>
          <w:rFonts w:ascii="Arial" w:hAnsi="Arial" w:cs="Arial"/>
          <w:b/>
          <w:bCs/>
        </w:rPr>
        <w:lastRenderedPageBreak/>
        <w:t xml:space="preserve">This information can be found on our Contracts Register on our website </w:t>
      </w:r>
      <w:hyperlink r:id="rId8" w:history="1">
        <w:r w:rsidRPr="003D1037">
          <w:rPr>
            <w:rStyle w:val="Hyperlink"/>
            <w:rFonts w:ascii="Arial" w:hAnsi="Arial" w:cs="Arial"/>
            <w:b/>
            <w:bCs/>
          </w:rPr>
          <w:t>here</w:t>
        </w:r>
      </w:hyperlink>
    </w:p>
    <w:p w14:paraId="3094550C"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Contract start date </w:t>
      </w:r>
    </w:p>
    <w:p w14:paraId="458F76DD" w14:textId="77777777" w:rsidR="003D1037" w:rsidRPr="003D1037" w:rsidRDefault="003D1037" w:rsidP="003D1037">
      <w:pPr>
        <w:pStyle w:val="PlainText"/>
        <w:rPr>
          <w:rFonts w:ascii="Arial" w:hAnsi="Arial" w:cs="Arial"/>
          <w:b/>
          <w:bCs/>
        </w:rPr>
      </w:pPr>
      <w:r w:rsidRPr="003D1037">
        <w:rPr>
          <w:rFonts w:ascii="Arial" w:hAnsi="Arial" w:cs="Arial"/>
          <w:b/>
          <w:bCs/>
        </w:rPr>
        <w:t xml:space="preserve">This information can be found on our Contracts Register on our website </w:t>
      </w:r>
      <w:hyperlink r:id="rId9" w:history="1">
        <w:r w:rsidRPr="003D1037">
          <w:rPr>
            <w:rStyle w:val="Hyperlink"/>
            <w:rFonts w:ascii="Arial" w:hAnsi="Arial" w:cs="Arial"/>
            <w:b/>
            <w:bCs/>
          </w:rPr>
          <w:t>here</w:t>
        </w:r>
      </w:hyperlink>
    </w:p>
    <w:p w14:paraId="2BCFDD65"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Initial contract end date</w:t>
      </w:r>
    </w:p>
    <w:p w14:paraId="606D2EC0" w14:textId="77777777" w:rsidR="003D1037" w:rsidRPr="003D1037" w:rsidRDefault="003D1037" w:rsidP="003D1037">
      <w:pPr>
        <w:pStyle w:val="PlainText"/>
        <w:rPr>
          <w:rFonts w:ascii="Arial" w:hAnsi="Arial" w:cs="Arial"/>
          <w:b/>
          <w:bCs/>
        </w:rPr>
      </w:pPr>
      <w:r w:rsidRPr="003D1037">
        <w:rPr>
          <w:rFonts w:ascii="Arial" w:hAnsi="Arial" w:cs="Arial"/>
          <w:b/>
          <w:bCs/>
        </w:rPr>
        <w:t xml:space="preserve">This information can be found on our Contracts Register on our website </w:t>
      </w:r>
      <w:hyperlink r:id="rId10" w:history="1">
        <w:r w:rsidRPr="003D1037">
          <w:rPr>
            <w:rStyle w:val="Hyperlink"/>
            <w:rFonts w:ascii="Arial" w:hAnsi="Arial" w:cs="Arial"/>
            <w:b/>
            <w:bCs/>
          </w:rPr>
          <w:t>here</w:t>
        </w:r>
      </w:hyperlink>
    </w:p>
    <w:p w14:paraId="57A76B64"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Extension options available (duration and number) </w:t>
      </w:r>
    </w:p>
    <w:p w14:paraId="4CCFCDE5" w14:textId="77777777" w:rsidR="003D1037" w:rsidRPr="003D1037" w:rsidRDefault="003D1037" w:rsidP="003D1037">
      <w:pPr>
        <w:pStyle w:val="PlainText"/>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5B1A999D"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Whether any extensions have been exercised and revised end date </w:t>
      </w:r>
    </w:p>
    <w:p w14:paraId="26840A8E" w14:textId="77777777" w:rsidR="003D1037" w:rsidRPr="003D1037" w:rsidRDefault="003D1037" w:rsidP="003D1037">
      <w:pPr>
        <w:pStyle w:val="PlainText"/>
        <w:numPr>
          <w:ilvl w:val="0"/>
          <w:numId w:val="55"/>
        </w:numPr>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3295C05B"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Total contract value (including any exercised extensions) </w:t>
      </w:r>
    </w:p>
    <w:p w14:paraId="36012393" w14:textId="77777777" w:rsidR="003D1037" w:rsidRPr="003D1037" w:rsidRDefault="003D1037" w:rsidP="003D1037">
      <w:pPr>
        <w:pStyle w:val="PlainText"/>
        <w:numPr>
          <w:ilvl w:val="0"/>
          <w:numId w:val="55"/>
        </w:numPr>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64BE80F0"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Annual contract value </w:t>
      </w:r>
    </w:p>
    <w:p w14:paraId="7B655C6A" w14:textId="77777777" w:rsidR="003D1037" w:rsidRPr="003D1037" w:rsidRDefault="003D1037" w:rsidP="003D1037">
      <w:pPr>
        <w:pStyle w:val="PlainText"/>
        <w:rPr>
          <w:rFonts w:ascii="Arial" w:hAnsi="Arial" w:cs="Arial"/>
          <w:b/>
          <w:bCs/>
        </w:rPr>
      </w:pPr>
      <w:r w:rsidRPr="003D1037">
        <w:rPr>
          <w:rFonts w:ascii="Arial" w:hAnsi="Arial" w:cs="Arial"/>
          <w:b/>
          <w:bCs/>
        </w:rPr>
        <w:t xml:space="preserve">This information can be found on our Contracts Register on our website </w:t>
      </w:r>
      <w:hyperlink r:id="rId11" w:history="1">
        <w:r w:rsidRPr="003D1037">
          <w:rPr>
            <w:rStyle w:val="Hyperlink"/>
            <w:rFonts w:ascii="Arial" w:hAnsi="Arial" w:cs="Arial"/>
            <w:b/>
            <w:bCs/>
          </w:rPr>
          <w:t>here</w:t>
        </w:r>
      </w:hyperlink>
    </w:p>
    <w:p w14:paraId="7A97378E" w14:textId="77777777" w:rsidR="003D1037" w:rsidRPr="003D1037" w:rsidRDefault="003D1037" w:rsidP="003D1037">
      <w:pPr>
        <w:pStyle w:val="PlainText"/>
        <w:numPr>
          <w:ilvl w:val="0"/>
          <w:numId w:val="55"/>
        </w:numPr>
        <w:rPr>
          <w:rFonts w:ascii="Arial" w:hAnsi="Arial" w:cs="Arial"/>
        </w:rPr>
      </w:pPr>
      <w:r w:rsidRPr="003D1037">
        <w:rPr>
          <w:rFonts w:ascii="Arial" w:hAnsi="Arial" w:cs="Arial"/>
        </w:rPr>
        <w:t xml:space="preserve">Pricing model used (e.g. per-seat, per-control room position, per-appliance, enterprise licence)  </w:t>
      </w:r>
    </w:p>
    <w:p w14:paraId="163B35E7" w14:textId="77777777" w:rsidR="003D1037" w:rsidRPr="003D1037" w:rsidRDefault="003D1037" w:rsidP="003D1037">
      <w:pPr>
        <w:pStyle w:val="PlainText"/>
        <w:numPr>
          <w:ilvl w:val="0"/>
          <w:numId w:val="55"/>
        </w:numPr>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788FA75F" w14:textId="77777777" w:rsidR="003D1037" w:rsidRPr="003D1037" w:rsidRDefault="003D1037" w:rsidP="003D1037">
      <w:pPr>
        <w:pStyle w:val="PlainText"/>
        <w:rPr>
          <w:rFonts w:ascii="Arial" w:hAnsi="Arial" w:cs="Arial"/>
        </w:rPr>
      </w:pPr>
      <w:r w:rsidRPr="003D1037">
        <w:rPr>
          <w:rFonts w:ascii="Arial" w:hAnsi="Arial" w:cs="Arial"/>
        </w:rPr>
        <w:t>A2. Scope of Services Included</w:t>
      </w:r>
    </w:p>
    <w:p w14:paraId="3A14DA27" w14:textId="77777777" w:rsidR="003D1037" w:rsidRPr="003D1037" w:rsidRDefault="003D1037" w:rsidP="003D1037">
      <w:pPr>
        <w:pStyle w:val="PlainText"/>
        <w:rPr>
          <w:rFonts w:ascii="Arial" w:hAnsi="Arial" w:cs="Arial"/>
        </w:rPr>
      </w:pPr>
      <w:r w:rsidRPr="003D1037">
        <w:rPr>
          <w:rFonts w:ascii="Arial" w:hAnsi="Arial" w:cs="Arial"/>
        </w:rPr>
        <w:t>Please confirm whether the contract includes the following elements:</w:t>
      </w:r>
    </w:p>
    <w:p w14:paraId="4D01E0B6" w14:textId="77777777" w:rsidR="003D1037" w:rsidRPr="003D1037" w:rsidRDefault="003D1037" w:rsidP="003D1037">
      <w:pPr>
        <w:pStyle w:val="PlainText"/>
        <w:rPr>
          <w:rFonts w:ascii="Arial" w:hAnsi="Arial" w:cs="Arial"/>
        </w:rPr>
      </w:pPr>
      <w:r w:rsidRPr="003D1037">
        <w:rPr>
          <w:rFonts w:ascii="Arial" w:hAnsi="Arial" w:cs="Arial"/>
        </w:rPr>
        <w:t>Software &amp; Support</w:t>
      </w:r>
    </w:p>
    <w:p w14:paraId="5C167816" w14:textId="77777777" w:rsidR="003D1037" w:rsidRPr="003D1037" w:rsidRDefault="003D1037" w:rsidP="003D1037">
      <w:pPr>
        <w:pStyle w:val="PlainText"/>
        <w:numPr>
          <w:ilvl w:val="0"/>
          <w:numId w:val="56"/>
        </w:numPr>
        <w:rPr>
          <w:rFonts w:ascii="Arial" w:hAnsi="Arial" w:cs="Arial"/>
        </w:rPr>
      </w:pPr>
      <w:r w:rsidRPr="003D1037">
        <w:rPr>
          <w:rFonts w:ascii="Arial" w:hAnsi="Arial" w:cs="Arial"/>
        </w:rPr>
        <w:t>Core software licence</w:t>
      </w:r>
    </w:p>
    <w:p w14:paraId="6509D941" w14:textId="77777777" w:rsidR="003D1037" w:rsidRPr="003D1037" w:rsidRDefault="003D1037" w:rsidP="003D1037">
      <w:pPr>
        <w:pStyle w:val="PlainText"/>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45E076B8" w14:textId="77777777" w:rsidR="003D1037" w:rsidRPr="003D1037" w:rsidRDefault="003D1037" w:rsidP="003D1037">
      <w:pPr>
        <w:pStyle w:val="PlainText"/>
        <w:numPr>
          <w:ilvl w:val="0"/>
          <w:numId w:val="56"/>
        </w:numPr>
        <w:rPr>
          <w:rFonts w:ascii="Arial" w:hAnsi="Arial" w:cs="Arial"/>
        </w:rPr>
      </w:pPr>
      <w:r w:rsidRPr="003D1037">
        <w:rPr>
          <w:rFonts w:ascii="Arial" w:hAnsi="Arial" w:cs="Arial"/>
        </w:rPr>
        <w:t xml:space="preserve">1st / 2nd / 3rd line support (and support hours) </w:t>
      </w:r>
    </w:p>
    <w:p w14:paraId="4F373E18" w14:textId="77777777" w:rsidR="003D1037" w:rsidRPr="003D1037" w:rsidRDefault="003D1037" w:rsidP="003D1037">
      <w:pPr>
        <w:pStyle w:val="PlainText"/>
        <w:numPr>
          <w:ilvl w:val="0"/>
          <w:numId w:val="56"/>
        </w:numPr>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  </w:t>
      </w:r>
    </w:p>
    <w:p w14:paraId="155602FA" w14:textId="77777777" w:rsidR="003D1037" w:rsidRPr="003D1037" w:rsidRDefault="003D1037" w:rsidP="003D1037">
      <w:pPr>
        <w:pStyle w:val="PlainText"/>
        <w:numPr>
          <w:ilvl w:val="0"/>
          <w:numId w:val="56"/>
        </w:numPr>
        <w:rPr>
          <w:rFonts w:ascii="Arial" w:hAnsi="Arial" w:cs="Arial"/>
        </w:rPr>
      </w:pPr>
      <w:r w:rsidRPr="003D1037">
        <w:rPr>
          <w:rFonts w:ascii="Arial" w:hAnsi="Arial" w:cs="Arial"/>
        </w:rPr>
        <w:t xml:space="preserve">Hosting or infrastructure provision  </w:t>
      </w:r>
    </w:p>
    <w:p w14:paraId="1FBCE5A6" w14:textId="77777777" w:rsidR="003D1037" w:rsidRPr="003D1037" w:rsidRDefault="003D1037" w:rsidP="003D1037">
      <w:pPr>
        <w:pStyle w:val="PlainText"/>
        <w:rPr>
          <w:rFonts w:ascii="Arial" w:hAnsi="Arial" w:cs="Arial"/>
          <w:b/>
          <w:bCs/>
        </w:rPr>
      </w:pPr>
      <w:r w:rsidRPr="003D1037">
        <w:rPr>
          <w:rFonts w:ascii="Arial" w:hAnsi="Arial" w:cs="Arial"/>
          <w:b/>
          <w:bCs/>
        </w:rPr>
        <w:t xml:space="preserve">Unfortunately, we are unable to provide this information as it is exempt under Section 24(1) National Security, Section 31(1) Law Enforcement, and Section 38(1) Health and Safety. Further detail on these exemptions can be found at the end of our response. </w:t>
      </w:r>
    </w:p>
    <w:p w14:paraId="2CC2C6F4" w14:textId="77777777" w:rsidR="003D1037" w:rsidRPr="003D1037" w:rsidRDefault="003D1037" w:rsidP="003D1037">
      <w:pPr>
        <w:pStyle w:val="PlainText"/>
        <w:numPr>
          <w:ilvl w:val="0"/>
          <w:numId w:val="56"/>
        </w:numPr>
        <w:rPr>
          <w:rFonts w:ascii="Arial" w:hAnsi="Arial" w:cs="Arial"/>
        </w:rPr>
      </w:pPr>
      <w:r w:rsidRPr="003D1037">
        <w:rPr>
          <w:rFonts w:ascii="Arial" w:hAnsi="Arial" w:cs="Arial"/>
        </w:rPr>
        <w:t xml:space="preserve">Software upgrades and release management </w:t>
      </w:r>
    </w:p>
    <w:p w14:paraId="47575A94" w14:textId="77777777" w:rsidR="003D1037" w:rsidRPr="003D1037" w:rsidRDefault="003D1037" w:rsidP="003D1037">
      <w:pPr>
        <w:pStyle w:val="PlainText"/>
        <w:rPr>
          <w:rFonts w:ascii="Arial" w:hAnsi="Arial" w:cs="Arial"/>
          <w:b/>
          <w:bCs/>
        </w:rPr>
      </w:pPr>
      <w:r w:rsidRPr="003D1037">
        <w:rPr>
          <w:rFonts w:ascii="Arial" w:hAnsi="Arial" w:cs="Arial"/>
          <w:b/>
          <w:bCs/>
        </w:rPr>
        <w:t xml:space="preserve">Unfortunately, we are unable to provide this information as it is exempt under Section 24(1) National Security, Section 31(1) Law Enforcement, and Section 38(1) Health and Safety. Further detail on these exemptions can be found at the end of our response. </w:t>
      </w:r>
    </w:p>
    <w:p w14:paraId="7D3AB4BB" w14:textId="77777777" w:rsidR="003D1037" w:rsidRPr="003D1037" w:rsidRDefault="003D1037" w:rsidP="003D1037">
      <w:pPr>
        <w:pStyle w:val="PlainText"/>
        <w:numPr>
          <w:ilvl w:val="0"/>
          <w:numId w:val="56"/>
        </w:numPr>
        <w:rPr>
          <w:rFonts w:ascii="Arial" w:hAnsi="Arial" w:cs="Arial"/>
        </w:rPr>
      </w:pPr>
      <w:r w:rsidRPr="003D1037">
        <w:rPr>
          <w:rFonts w:ascii="Arial" w:hAnsi="Arial" w:cs="Arial"/>
        </w:rPr>
        <w:t xml:space="preserve">Contractual uptime or availability targets </w:t>
      </w:r>
    </w:p>
    <w:p w14:paraId="50346963" w14:textId="77777777" w:rsidR="003D1037" w:rsidRPr="003D1037" w:rsidRDefault="003D1037" w:rsidP="003D1037">
      <w:pPr>
        <w:pStyle w:val="PlainText"/>
        <w:rPr>
          <w:rFonts w:ascii="Arial" w:hAnsi="Arial" w:cs="Arial"/>
        </w:rPr>
      </w:pPr>
      <w:r w:rsidRPr="003D1037">
        <w:rPr>
          <w:rFonts w:ascii="Arial" w:hAnsi="Arial" w:cs="Arial"/>
          <w:b/>
          <w:bCs/>
        </w:rPr>
        <w:t>Unfortunately, we are unable to provide this information as it is exempt under Section 24(1) National Security, Section 31(1) Law Enforcement, and Section 38(1) Health and Safety. Further detail on these exemptions can be found at the end of our response.</w:t>
      </w:r>
    </w:p>
    <w:p w14:paraId="05BBD3C2" w14:textId="77777777" w:rsidR="003D1037" w:rsidRPr="003D1037" w:rsidRDefault="003D1037" w:rsidP="003D1037">
      <w:pPr>
        <w:pStyle w:val="PlainText"/>
        <w:rPr>
          <w:rFonts w:ascii="Arial" w:hAnsi="Arial" w:cs="Arial"/>
        </w:rPr>
      </w:pPr>
      <w:r w:rsidRPr="003D1037">
        <w:rPr>
          <w:rFonts w:ascii="Arial" w:hAnsi="Arial" w:cs="Arial"/>
        </w:rPr>
        <w:t>Hosting Model</w:t>
      </w:r>
    </w:p>
    <w:p w14:paraId="11B77652" w14:textId="77777777" w:rsidR="003D1037" w:rsidRPr="003D1037" w:rsidRDefault="003D1037" w:rsidP="003D1037">
      <w:pPr>
        <w:pStyle w:val="PlainText"/>
        <w:numPr>
          <w:ilvl w:val="0"/>
          <w:numId w:val="57"/>
        </w:numPr>
        <w:rPr>
          <w:rFonts w:ascii="Arial" w:hAnsi="Arial" w:cs="Arial"/>
        </w:rPr>
      </w:pPr>
      <w:r w:rsidRPr="003D1037">
        <w:rPr>
          <w:rFonts w:ascii="Arial" w:hAnsi="Arial" w:cs="Arial"/>
        </w:rPr>
        <w:t xml:space="preserve">SaaS / cloud hosted </w:t>
      </w:r>
    </w:p>
    <w:p w14:paraId="4642EE26" w14:textId="77777777" w:rsidR="003D1037" w:rsidRPr="003D1037" w:rsidRDefault="003D1037" w:rsidP="003D1037">
      <w:pPr>
        <w:pStyle w:val="PlainText"/>
        <w:numPr>
          <w:ilvl w:val="0"/>
          <w:numId w:val="57"/>
        </w:numPr>
        <w:rPr>
          <w:rFonts w:ascii="Arial" w:hAnsi="Arial" w:cs="Arial"/>
        </w:rPr>
      </w:pPr>
      <w:r w:rsidRPr="003D1037">
        <w:rPr>
          <w:rFonts w:ascii="Arial" w:hAnsi="Arial" w:cs="Arial"/>
        </w:rPr>
        <w:t xml:space="preserve">Private cloud </w:t>
      </w:r>
    </w:p>
    <w:p w14:paraId="10B6F0CA" w14:textId="77777777" w:rsidR="003D1037" w:rsidRPr="003D1037" w:rsidRDefault="003D1037" w:rsidP="003D1037">
      <w:pPr>
        <w:pStyle w:val="PlainText"/>
        <w:numPr>
          <w:ilvl w:val="0"/>
          <w:numId w:val="57"/>
        </w:numPr>
        <w:rPr>
          <w:rFonts w:ascii="Arial" w:hAnsi="Arial" w:cs="Arial"/>
        </w:rPr>
      </w:pPr>
      <w:r w:rsidRPr="003D1037">
        <w:rPr>
          <w:rFonts w:ascii="Arial" w:hAnsi="Arial" w:cs="Arial"/>
        </w:rPr>
        <w:t xml:space="preserve">On-premise </w:t>
      </w:r>
    </w:p>
    <w:p w14:paraId="554025B6" w14:textId="77777777" w:rsidR="003D1037" w:rsidRPr="003D1037" w:rsidRDefault="003D1037" w:rsidP="003D1037">
      <w:pPr>
        <w:pStyle w:val="PlainText"/>
        <w:numPr>
          <w:ilvl w:val="0"/>
          <w:numId w:val="57"/>
        </w:numPr>
        <w:rPr>
          <w:rFonts w:ascii="Arial" w:hAnsi="Arial" w:cs="Arial"/>
        </w:rPr>
      </w:pPr>
      <w:r w:rsidRPr="003D1037">
        <w:rPr>
          <w:rFonts w:ascii="Arial" w:hAnsi="Arial" w:cs="Arial"/>
        </w:rPr>
        <w:t>Hybrid</w:t>
      </w:r>
    </w:p>
    <w:p w14:paraId="18F39707" w14:textId="77777777" w:rsidR="003D1037" w:rsidRPr="003D1037" w:rsidRDefault="003D1037" w:rsidP="003D1037">
      <w:pPr>
        <w:pStyle w:val="PlainText"/>
        <w:rPr>
          <w:rFonts w:ascii="Arial" w:hAnsi="Arial" w:cs="Arial"/>
          <w:b/>
          <w:bCs/>
        </w:rPr>
      </w:pPr>
    </w:p>
    <w:p w14:paraId="53F5AE33" w14:textId="77777777" w:rsidR="003D1037" w:rsidRPr="003D1037" w:rsidRDefault="003D1037" w:rsidP="003D1037">
      <w:pPr>
        <w:pStyle w:val="PlainText"/>
        <w:rPr>
          <w:rFonts w:ascii="Arial" w:hAnsi="Arial" w:cs="Arial"/>
        </w:rPr>
      </w:pPr>
      <w:r w:rsidRPr="003D1037">
        <w:rPr>
          <w:rFonts w:ascii="Arial" w:hAnsi="Arial" w:cs="Arial"/>
          <w:b/>
          <w:bCs/>
        </w:rPr>
        <w:lastRenderedPageBreak/>
        <w:t>Unfortunately, we are unable to provide this information as it is exempt under Section 24(1) National Security, Section 31(1) Law Enforcement, and Section 38(1) Health and Safety. Further detail on these exemptions can be found at the end of our response.</w:t>
      </w:r>
    </w:p>
    <w:p w14:paraId="1328BF62" w14:textId="77777777" w:rsidR="003D1037" w:rsidRPr="003D1037" w:rsidRDefault="003D1037" w:rsidP="003D1037">
      <w:pPr>
        <w:pStyle w:val="PlainText"/>
        <w:rPr>
          <w:rFonts w:ascii="Arial" w:hAnsi="Arial" w:cs="Arial"/>
        </w:rPr>
      </w:pPr>
      <w:r w:rsidRPr="003D1037">
        <w:rPr>
          <w:rFonts w:ascii="Arial" w:hAnsi="Arial" w:cs="Arial"/>
        </w:rPr>
        <w:t>Interfaces &amp; Integrations</w:t>
      </w:r>
    </w:p>
    <w:p w14:paraId="1D42D8D0" w14:textId="77777777" w:rsidR="003D1037" w:rsidRPr="003D1037" w:rsidRDefault="003D1037" w:rsidP="003D1037">
      <w:pPr>
        <w:pStyle w:val="PlainText"/>
        <w:numPr>
          <w:ilvl w:val="0"/>
          <w:numId w:val="58"/>
        </w:numPr>
        <w:rPr>
          <w:rFonts w:ascii="Arial" w:hAnsi="Arial" w:cs="Arial"/>
        </w:rPr>
      </w:pPr>
      <w:r w:rsidRPr="003D1037">
        <w:rPr>
          <w:rFonts w:ascii="Arial" w:hAnsi="Arial" w:cs="Arial"/>
        </w:rPr>
        <w:t xml:space="preserve">Interfaces between CAD and ICCS </w:t>
      </w:r>
    </w:p>
    <w:p w14:paraId="28845E9C" w14:textId="77777777" w:rsidR="003D1037" w:rsidRPr="003D1037" w:rsidRDefault="003D1037" w:rsidP="003D1037">
      <w:pPr>
        <w:pStyle w:val="PlainText"/>
        <w:numPr>
          <w:ilvl w:val="0"/>
          <w:numId w:val="58"/>
        </w:numPr>
        <w:rPr>
          <w:rFonts w:ascii="Arial" w:hAnsi="Arial" w:cs="Arial"/>
        </w:rPr>
      </w:pPr>
      <w:r w:rsidRPr="003D1037">
        <w:rPr>
          <w:rFonts w:ascii="Arial" w:hAnsi="Arial" w:cs="Arial"/>
        </w:rPr>
        <w:t>Interfaces with mobilising, mapping, AVL, or other operational systems </w:t>
      </w:r>
    </w:p>
    <w:p w14:paraId="792E3F3D" w14:textId="77777777" w:rsidR="003D1037" w:rsidRPr="003D1037" w:rsidRDefault="003D1037" w:rsidP="003D1037">
      <w:pPr>
        <w:pStyle w:val="PlainText"/>
        <w:numPr>
          <w:ilvl w:val="0"/>
          <w:numId w:val="58"/>
        </w:numPr>
        <w:rPr>
          <w:rFonts w:ascii="Arial" w:hAnsi="Arial" w:cs="Arial"/>
        </w:rPr>
      </w:pPr>
      <w:r w:rsidRPr="003D1037">
        <w:rPr>
          <w:rFonts w:ascii="Arial" w:hAnsi="Arial" w:cs="Arial"/>
        </w:rPr>
        <w:t>Any third-party integration tools or middleware </w:t>
      </w:r>
    </w:p>
    <w:p w14:paraId="7E3D0CAE" w14:textId="77777777" w:rsidR="003D1037" w:rsidRPr="003D1037" w:rsidRDefault="003D1037" w:rsidP="003D1037">
      <w:pPr>
        <w:pStyle w:val="PlainText"/>
        <w:rPr>
          <w:rFonts w:ascii="Arial" w:hAnsi="Arial" w:cs="Arial"/>
          <w:b/>
          <w:bCs/>
        </w:rPr>
      </w:pPr>
    </w:p>
    <w:p w14:paraId="071C636E" w14:textId="77777777" w:rsidR="003D1037" w:rsidRPr="003D1037" w:rsidRDefault="003D1037" w:rsidP="003D1037">
      <w:pPr>
        <w:pStyle w:val="PlainText"/>
        <w:rPr>
          <w:rFonts w:ascii="Arial" w:hAnsi="Arial" w:cs="Arial"/>
        </w:rPr>
      </w:pPr>
      <w:r w:rsidRPr="003D1037">
        <w:rPr>
          <w:rFonts w:ascii="Arial" w:hAnsi="Arial" w:cs="Arial"/>
          <w:b/>
          <w:bCs/>
        </w:rPr>
        <w:t>Unfortunately, we are unable to provide this information as it is exempt under Section 24(1) National Security, Section 31(1) Law Enforcement, and Section 38(1) Health and Safety. Further detail on these exemptions can be found at the end of our response.</w:t>
      </w:r>
    </w:p>
    <w:p w14:paraId="671F1BF2" w14:textId="77777777" w:rsidR="003D1037" w:rsidRPr="003D1037" w:rsidRDefault="003D1037" w:rsidP="003D1037">
      <w:pPr>
        <w:pStyle w:val="PlainText"/>
        <w:rPr>
          <w:rFonts w:ascii="Arial" w:hAnsi="Arial" w:cs="Arial"/>
        </w:rPr>
      </w:pPr>
      <w:r w:rsidRPr="003D1037">
        <w:rPr>
          <w:rFonts w:ascii="Arial" w:hAnsi="Arial" w:cs="Arial"/>
          <w:b/>
          <w:bCs/>
        </w:rPr>
        <w:t>SECTION B – Contract Performance &amp; Service Management (Priority 2)</w:t>
      </w:r>
    </w:p>
    <w:p w14:paraId="2F7FFA77" w14:textId="77777777" w:rsidR="003D1037" w:rsidRPr="003D1037" w:rsidRDefault="003D1037" w:rsidP="003D1037">
      <w:pPr>
        <w:pStyle w:val="PlainText"/>
        <w:rPr>
          <w:rFonts w:ascii="Arial" w:hAnsi="Arial" w:cs="Arial"/>
        </w:rPr>
      </w:pPr>
      <w:r w:rsidRPr="003D1037">
        <w:rPr>
          <w:rFonts w:ascii="Arial" w:hAnsi="Arial" w:cs="Arial"/>
        </w:rPr>
        <w:t>Where held, please provide: - </w:t>
      </w:r>
    </w:p>
    <w:p w14:paraId="5BB8821E" w14:textId="77777777" w:rsidR="003D1037" w:rsidRPr="003D1037" w:rsidRDefault="003D1037" w:rsidP="003D1037">
      <w:pPr>
        <w:pStyle w:val="PlainText"/>
        <w:rPr>
          <w:rFonts w:ascii="Arial" w:hAnsi="Arial" w:cs="Arial"/>
        </w:rPr>
      </w:pPr>
      <w:r w:rsidRPr="003D1037">
        <w:rPr>
          <w:rFonts w:ascii="Arial" w:hAnsi="Arial" w:cs="Arial"/>
        </w:rPr>
        <w:t>Contractual service level indicators (SLAs / KPIs) –.</w:t>
      </w:r>
    </w:p>
    <w:p w14:paraId="50649F66" w14:textId="77777777" w:rsidR="003D1037" w:rsidRPr="003D1037" w:rsidRDefault="003D1037" w:rsidP="003D1037">
      <w:pPr>
        <w:pStyle w:val="PlainText"/>
        <w:numPr>
          <w:ilvl w:val="0"/>
          <w:numId w:val="59"/>
        </w:numPr>
        <w:rPr>
          <w:rFonts w:ascii="Arial" w:hAnsi="Arial" w:cs="Arial"/>
        </w:rPr>
      </w:pPr>
      <w:r w:rsidRPr="003D1037">
        <w:rPr>
          <w:rFonts w:ascii="Arial" w:hAnsi="Arial" w:cs="Arial"/>
        </w:rPr>
        <w:t xml:space="preserve">Any documented performance reporting or review outputs from the last 24 months </w:t>
      </w:r>
    </w:p>
    <w:p w14:paraId="3F43F87A" w14:textId="77777777" w:rsidR="003D1037" w:rsidRPr="003D1037" w:rsidRDefault="003D1037" w:rsidP="003D1037">
      <w:pPr>
        <w:pStyle w:val="PlainText"/>
        <w:numPr>
          <w:ilvl w:val="0"/>
          <w:numId w:val="59"/>
        </w:numPr>
        <w:rPr>
          <w:rFonts w:ascii="Arial" w:hAnsi="Arial" w:cs="Arial"/>
        </w:rPr>
      </w:pPr>
      <w:r w:rsidRPr="003D1037">
        <w:rPr>
          <w:rFonts w:ascii="Arial" w:hAnsi="Arial" w:cs="Arial"/>
        </w:rPr>
        <w:t xml:space="preserve">Whether any service credits, penalties, or formal escalations have been applied </w:t>
      </w:r>
    </w:p>
    <w:p w14:paraId="2DA033CB" w14:textId="77777777" w:rsidR="003D1037" w:rsidRPr="003D1037" w:rsidRDefault="003D1037" w:rsidP="003D1037">
      <w:pPr>
        <w:pStyle w:val="PlainText"/>
        <w:rPr>
          <w:rFonts w:ascii="Arial" w:hAnsi="Arial" w:cs="Arial"/>
        </w:rPr>
      </w:pPr>
    </w:p>
    <w:p w14:paraId="75EFB38E" w14:textId="77777777" w:rsidR="003D1037" w:rsidRPr="003D1037" w:rsidRDefault="003D1037" w:rsidP="003D1037">
      <w:pPr>
        <w:pStyle w:val="PlainText"/>
        <w:rPr>
          <w:rFonts w:ascii="Arial" w:hAnsi="Arial" w:cs="Arial"/>
        </w:rPr>
      </w:pPr>
      <w:r w:rsidRPr="003D1037">
        <w:rPr>
          <w:rFonts w:ascii="Arial" w:hAnsi="Arial" w:cs="Arial"/>
          <w:b/>
          <w:bCs/>
        </w:rPr>
        <w:t>Unfortunately, we are unable to provide this information as it is exempt under Section 43(2) Commercial Interests and Section 41 Information Provided in Confidence, Section 24(1) National Security, Section 31(1) Law Enforcement, and Section 38(1) Health and Safety. Further detail on these exemptions can be found at the end of our response.</w:t>
      </w:r>
    </w:p>
    <w:p w14:paraId="07C8535D" w14:textId="77777777" w:rsidR="003D1037" w:rsidRPr="003D1037" w:rsidRDefault="003D1037" w:rsidP="003D1037">
      <w:pPr>
        <w:pStyle w:val="PlainText"/>
        <w:rPr>
          <w:rFonts w:ascii="Arial" w:hAnsi="Arial" w:cs="Arial"/>
        </w:rPr>
      </w:pPr>
      <w:r w:rsidRPr="003D1037">
        <w:rPr>
          <w:rFonts w:ascii="Arial" w:hAnsi="Arial" w:cs="Arial"/>
          <w:b/>
          <w:bCs/>
        </w:rPr>
        <w:t>SECTION C – Procurement &amp; Contractual Documentation (Priority 3)</w:t>
      </w:r>
    </w:p>
    <w:p w14:paraId="2B32C52B" w14:textId="77777777" w:rsidR="003D1037" w:rsidRPr="003D1037" w:rsidRDefault="003D1037" w:rsidP="003D1037">
      <w:pPr>
        <w:pStyle w:val="PlainText"/>
        <w:rPr>
          <w:rFonts w:ascii="Arial" w:hAnsi="Arial" w:cs="Arial"/>
        </w:rPr>
      </w:pPr>
      <w:r w:rsidRPr="003D1037">
        <w:rPr>
          <w:rFonts w:ascii="Arial" w:hAnsi="Arial" w:cs="Arial"/>
        </w:rPr>
        <w:t>For the procurement leading to the current contract(s):</w:t>
      </w:r>
    </w:p>
    <w:p w14:paraId="55C2C6CE" w14:textId="77777777" w:rsidR="003D1037" w:rsidRPr="003D1037" w:rsidRDefault="003D1037" w:rsidP="003D1037">
      <w:pPr>
        <w:pStyle w:val="PlainText"/>
        <w:numPr>
          <w:ilvl w:val="0"/>
          <w:numId w:val="60"/>
        </w:numPr>
        <w:rPr>
          <w:rFonts w:ascii="Arial" w:hAnsi="Arial" w:cs="Arial"/>
        </w:rPr>
      </w:pPr>
      <w:r w:rsidRPr="003D1037">
        <w:rPr>
          <w:rFonts w:ascii="Arial" w:hAnsi="Arial" w:cs="Arial"/>
        </w:rPr>
        <w:t xml:space="preserve">Procurement route used (Open, Framework, Direct Award, Further Competition) </w:t>
      </w:r>
    </w:p>
    <w:p w14:paraId="2C51B1EA" w14:textId="77777777" w:rsidR="003D1037" w:rsidRPr="003D1037" w:rsidRDefault="003D1037" w:rsidP="003D1037">
      <w:pPr>
        <w:pStyle w:val="PlainText"/>
        <w:numPr>
          <w:ilvl w:val="0"/>
          <w:numId w:val="60"/>
        </w:numPr>
        <w:rPr>
          <w:rFonts w:ascii="Arial" w:hAnsi="Arial" w:cs="Arial"/>
        </w:rPr>
      </w:pPr>
      <w:r w:rsidRPr="003D1037">
        <w:rPr>
          <w:rFonts w:ascii="Arial" w:hAnsi="Arial" w:cs="Arial"/>
        </w:rPr>
        <w:t xml:space="preserve">If via framework: framework name, lot number and call-off reference </w:t>
      </w:r>
    </w:p>
    <w:p w14:paraId="5523391F" w14:textId="77777777" w:rsidR="003D1037" w:rsidRPr="003D1037" w:rsidRDefault="003D1037" w:rsidP="003D1037">
      <w:pPr>
        <w:pStyle w:val="PlainText"/>
        <w:numPr>
          <w:ilvl w:val="0"/>
          <w:numId w:val="60"/>
        </w:numPr>
        <w:rPr>
          <w:rFonts w:ascii="Arial" w:hAnsi="Arial" w:cs="Arial"/>
        </w:rPr>
      </w:pPr>
      <w:r w:rsidRPr="003D1037">
        <w:rPr>
          <w:rFonts w:ascii="Arial" w:hAnsi="Arial" w:cs="Arial"/>
        </w:rPr>
        <w:t>Copies of:</w:t>
      </w:r>
    </w:p>
    <w:p w14:paraId="43532F4E" w14:textId="77777777" w:rsidR="003D1037" w:rsidRPr="003D1037" w:rsidRDefault="003D1037" w:rsidP="003D1037">
      <w:pPr>
        <w:pStyle w:val="PlainText"/>
        <w:numPr>
          <w:ilvl w:val="1"/>
          <w:numId w:val="60"/>
        </w:numPr>
        <w:rPr>
          <w:rFonts w:ascii="Arial" w:hAnsi="Arial" w:cs="Arial"/>
        </w:rPr>
      </w:pPr>
      <w:r w:rsidRPr="003D1037">
        <w:rPr>
          <w:rFonts w:ascii="Arial" w:hAnsi="Arial" w:cs="Arial"/>
        </w:rPr>
        <w:t xml:space="preserve">Signed contract (including schedules) </w:t>
      </w:r>
    </w:p>
    <w:p w14:paraId="694AA364" w14:textId="77777777" w:rsidR="003D1037" w:rsidRPr="003D1037" w:rsidRDefault="003D1037" w:rsidP="003D1037">
      <w:pPr>
        <w:pStyle w:val="PlainText"/>
        <w:numPr>
          <w:ilvl w:val="1"/>
          <w:numId w:val="60"/>
        </w:numPr>
        <w:rPr>
          <w:rFonts w:ascii="Arial" w:hAnsi="Arial" w:cs="Arial"/>
        </w:rPr>
      </w:pPr>
      <w:r w:rsidRPr="003D1037">
        <w:rPr>
          <w:rFonts w:ascii="Arial" w:hAnsi="Arial" w:cs="Arial"/>
        </w:rPr>
        <w:t xml:space="preserve">Any material contract variations or extensions </w:t>
      </w:r>
    </w:p>
    <w:p w14:paraId="6F6B2E48" w14:textId="77777777" w:rsidR="003D1037" w:rsidRPr="003D1037" w:rsidRDefault="003D1037" w:rsidP="003D1037">
      <w:pPr>
        <w:pStyle w:val="PlainText"/>
        <w:numPr>
          <w:ilvl w:val="1"/>
          <w:numId w:val="60"/>
        </w:numPr>
        <w:rPr>
          <w:rFonts w:ascii="Arial" w:hAnsi="Arial" w:cs="Arial"/>
        </w:rPr>
      </w:pPr>
      <w:r w:rsidRPr="003D1037">
        <w:rPr>
          <w:rFonts w:ascii="Arial" w:hAnsi="Arial" w:cs="Arial"/>
        </w:rPr>
        <w:t xml:space="preserve">Any change control notices relating to scope or cost (where held) </w:t>
      </w:r>
    </w:p>
    <w:p w14:paraId="7DDB8321" w14:textId="77777777" w:rsidR="003D1037" w:rsidRPr="003D1037" w:rsidRDefault="003D1037" w:rsidP="003D1037">
      <w:pPr>
        <w:pStyle w:val="PlainText"/>
        <w:rPr>
          <w:rFonts w:ascii="Arial" w:hAnsi="Arial" w:cs="Arial"/>
        </w:rPr>
      </w:pPr>
    </w:p>
    <w:p w14:paraId="6942764E" w14:textId="77777777" w:rsidR="003D1037" w:rsidRPr="003D1037" w:rsidRDefault="003D1037" w:rsidP="003D1037">
      <w:pPr>
        <w:pStyle w:val="PlainText"/>
        <w:rPr>
          <w:rFonts w:ascii="Arial" w:hAnsi="Arial" w:cs="Arial"/>
        </w:rPr>
      </w:pPr>
      <w:r w:rsidRPr="003D1037">
        <w:rPr>
          <w:rFonts w:ascii="Arial" w:hAnsi="Arial" w:cs="Arial"/>
          <w:b/>
          <w:bCs/>
        </w:rPr>
        <w:t>Unfortunately, we are unable to provide this information as it is exempt under Section 43(2) Commercial Interests and Section 41 Information Provided in Confidence, Section 24(1) National Security, Section 31(1) Law Enforcement, and Section 38(1) Health and Safety. Further detail on these exemptions can be found at the end of our response.</w:t>
      </w:r>
    </w:p>
    <w:p w14:paraId="35C18F23" w14:textId="77777777" w:rsidR="003D1037" w:rsidRPr="003D1037" w:rsidRDefault="003D1037" w:rsidP="003D1037">
      <w:pPr>
        <w:pStyle w:val="PlainText"/>
        <w:rPr>
          <w:rFonts w:ascii="Arial" w:hAnsi="Arial" w:cs="Arial"/>
        </w:rPr>
      </w:pPr>
      <w:r w:rsidRPr="003D1037">
        <w:rPr>
          <w:rFonts w:ascii="Arial" w:hAnsi="Arial" w:cs="Arial"/>
          <w:b/>
          <w:bCs/>
        </w:rPr>
        <w:t>SECTION D – Renewal, Strategy &amp; Market Engagement (Priority 4)</w:t>
      </w:r>
    </w:p>
    <w:p w14:paraId="5D9D14C5" w14:textId="77777777" w:rsidR="003D1037" w:rsidRPr="003D1037" w:rsidRDefault="003D1037" w:rsidP="003D1037">
      <w:pPr>
        <w:pStyle w:val="PlainText"/>
        <w:rPr>
          <w:rFonts w:ascii="Arial" w:hAnsi="Arial" w:cs="Arial"/>
        </w:rPr>
      </w:pPr>
      <w:r w:rsidRPr="003D1037">
        <w:rPr>
          <w:rFonts w:ascii="Arial" w:hAnsi="Arial" w:cs="Arial"/>
        </w:rPr>
        <w:t>Where information is held, please confirm:</w:t>
      </w:r>
    </w:p>
    <w:p w14:paraId="6E32A859" w14:textId="77777777" w:rsidR="003D1037" w:rsidRPr="003D1037" w:rsidRDefault="003D1037" w:rsidP="003D1037">
      <w:pPr>
        <w:pStyle w:val="PlainText"/>
        <w:numPr>
          <w:ilvl w:val="0"/>
          <w:numId w:val="61"/>
        </w:numPr>
        <w:rPr>
          <w:rFonts w:ascii="Arial" w:hAnsi="Arial" w:cs="Arial"/>
        </w:rPr>
      </w:pPr>
      <w:r w:rsidRPr="003D1037">
        <w:rPr>
          <w:rFonts w:ascii="Arial" w:hAnsi="Arial" w:cs="Arial"/>
        </w:rPr>
        <w:t>Whether there is an intention to re-procure, extend, or replace:</w:t>
      </w:r>
    </w:p>
    <w:p w14:paraId="287155EB" w14:textId="77777777" w:rsidR="003D1037" w:rsidRPr="003D1037" w:rsidRDefault="003D1037" w:rsidP="003D1037">
      <w:pPr>
        <w:pStyle w:val="PlainText"/>
        <w:numPr>
          <w:ilvl w:val="1"/>
          <w:numId w:val="61"/>
        </w:numPr>
        <w:rPr>
          <w:rFonts w:ascii="Arial" w:hAnsi="Arial" w:cs="Arial"/>
        </w:rPr>
      </w:pPr>
      <w:r w:rsidRPr="003D1037">
        <w:rPr>
          <w:rFonts w:ascii="Arial" w:hAnsi="Arial" w:cs="Arial"/>
        </w:rPr>
        <w:t xml:space="preserve">CAD </w:t>
      </w:r>
    </w:p>
    <w:p w14:paraId="1EF9EE51" w14:textId="77777777" w:rsidR="003D1037" w:rsidRPr="003D1037" w:rsidRDefault="003D1037" w:rsidP="003D1037">
      <w:pPr>
        <w:pStyle w:val="PlainText"/>
        <w:numPr>
          <w:ilvl w:val="1"/>
          <w:numId w:val="61"/>
        </w:numPr>
        <w:rPr>
          <w:rFonts w:ascii="Arial" w:hAnsi="Arial" w:cs="Arial"/>
        </w:rPr>
      </w:pPr>
      <w:r w:rsidRPr="003D1037">
        <w:rPr>
          <w:rFonts w:ascii="Arial" w:hAnsi="Arial" w:cs="Arial"/>
        </w:rPr>
        <w:t xml:space="preserve">ICCS </w:t>
      </w:r>
    </w:p>
    <w:p w14:paraId="75385A03" w14:textId="77777777" w:rsidR="003D1037" w:rsidRPr="003D1037" w:rsidRDefault="003D1037" w:rsidP="003D1037">
      <w:pPr>
        <w:pStyle w:val="PlainText"/>
        <w:numPr>
          <w:ilvl w:val="1"/>
          <w:numId w:val="61"/>
        </w:numPr>
        <w:rPr>
          <w:rFonts w:ascii="Arial" w:hAnsi="Arial" w:cs="Arial"/>
        </w:rPr>
      </w:pPr>
      <w:r w:rsidRPr="003D1037">
        <w:rPr>
          <w:rFonts w:ascii="Arial" w:hAnsi="Arial" w:cs="Arial"/>
        </w:rPr>
        <w:t xml:space="preserve">Rostering </w:t>
      </w:r>
    </w:p>
    <w:p w14:paraId="0DE214F6" w14:textId="77777777" w:rsidR="003D1037" w:rsidRPr="003D1037" w:rsidRDefault="003D1037" w:rsidP="003D1037">
      <w:pPr>
        <w:pStyle w:val="PlainText"/>
        <w:numPr>
          <w:ilvl w:val="0"/>
          <w:numId w:val="61"/>
        </w:numPr>
        <w:rPr>
          <w:rFonts w:ascii="Arial" w:hAnsi="Arial" w:cs="Arial"/>
        </w:rPr>
      </w:pPr>
      <w:r w:rsidRPr="003D1037">
        <w:rPr>
          <w:rFonts w:ascii="Arial" w:hAnsi="Arial" w:cs="Arial"/>
        </w:rPr>
        <w:t xml:space="preserve">Indicative timescales for any planned market engagement </w:t>
      </w:r>
    </w:p>
    <w:p w14:paraId="354ADC30" w14:textId="77777777" w:rsidR="003D1037" w:rsidRPr="003D1037" w:rsidRDefault="003D1037" w:rsidP="003D1037">
      <w:pPr>
        <w:pStyle w:val="PlainText"/>
        <w:numPr>
          <w:ilvl w:val="0"/>
          <w:numId w:val="61"/>
        </w:numPr>
        <w:rPr>
          <w:rFonts w:ascii="Arial" w:hAnsi="Arial" w:cs="Arial"/>
        </w:rPr>
      </w:pPr>
      <w:r w:rsidRPr="003D1037">
        <w:rPr>
          <w:rFonts w:ascii="Arial" w:hAnsi="Arial" w:cs="Arial"/>
        </w:rPr>
        <w:t xml:space="preserve">Whether any soft-market testing, PIN notices, or supplier briefings have been conducted or are planned </w:t>
      </w:r>
    </w:p>
    <w:p w14:paraId="13EDE778" w14:textId="77777777" w:rsidR="003D1037" w:rsidRPr="003D1037" w:rsidRDefault="003D1037" w:rsidP="003D1037">
      <w:pPr>
        <w:pStyle w:val="PlainText"/>
        <w:rPr>
          <w:rFonts w:ascii="Arial" w:hAnsi="Arial" w:cs="Arial"/>
          <w:b/>
          <w:bCs/>
        </w:rPr>
      </w:pPr>
    </w:p>
    <w:p w14:paraId="28D5ABC1" w14:textId="77777777" w:rsidR="003D1037" w:rsidRPr="003D1037" w:rsidRDefault="003D1037" w:rsidP="003D1037">
      <w:pPr>
        <w:pStyle w:val="PlainText"/>
        <w:rPr>
          <w:rFonts w:ascii="Arial" w:hAnsi="Arial" w:cs="Arial"/>
          <w:b/>
          <w:bCs/>
        </w:rPr>
      </w:pPr>
      <w:r w:rsidRPr="003D1037">
        <w:rPr>
          <w:rFonts w:ascii="Arial" w:hAnsi="Arial" w:cs="Arial"/>
          <w:b/>
          <w:bCs/>
        </w:rPr>
        <w:t>Unfortunately, we are unable to provide this information as it is exempt under Section 43(2) Commercial Interests and Section 41 Information Provided in Confidence. Further detail on these exemptions can be found at the end of our response.</w:t>
      </w:r>
    </w:p>
    <w:p w14:paraId="282AD7B1" w14:textId="77777777" w:rsidR="003D1037" w:rsidRPr="003D1037" w:rsidRDefault="003D1037" w:rsidP="003D1037">
      <w:pPr>
        <w:pStyle w:val="PlainText"/>
        <w:rPr>
          <w:rFonts w:ascii="Arial" w:hAnsi="Arial" w:cs="Arial"/>
        </w:rPr>
      </w:pPr>
      <w:r w:rsidRPr="003D1037">
        <w:rPr>
          <w:rFonts w:ascii="Arial" w:hAnsi="Arial" w:cs="Arial"/>
          <w:b/>
          <w:bCs/>
        </w:rPr>
        <w:t>SECTION E – Organisational Context (Priority 5)</w:t>
      </w:r>
    </w:p>
    <w:p w14:paraId="0EA16D35" w14:textId="77777777" w:rsidR="003D1037" w:rsidRPr="003D1037" w:rsidRDefault="003D1037" w:rsidP="003D1037">
      <w:pPr>
        <w:pStyle w:val="PlainText"/>
        <w:rPr>
          <w:rFonts w:ascii="Arial" w:hAnsi="Arial" w:cs="Arial"/>
        </w:rPr>
      </w:pPr>
      <w:r w:rsidRPr="003D1037">
        <w:rPr>
          <w:rFonts w:ascii="Arial" w:hAnsi="Arial" w:cs="Arial"/>
        </w:rPr>
        <w:t>For context only:</w:t>
      </w:r>
    </w:p>
    <w:p w14:paraId="61E73DCE" w14:textId="77777777" w:rsidR="003D1037" w:rsidRPr="003D1037" w:rsidRDefault="003D1037" w:rsidP="003D1037">
      <w:pPr>
        <w:pStyle w:val="PlainText"/>
        <w:numPr>
          <w:ilvl w:val="0"/>
          <w:numId w:val="62"/>
        </w:numPr>
        <w:rPr>
          <w:rFonts w:ascii="Arial" w:hAnsi="Arial" w:cs="Arial"/>
        </w:rPr>
      </w:pPr>
      <w:r w:rsidRPr="003D1037">
        <w:rPr>
          <w:rFonts w:ascii="Arial" w:hAnsi="Arial" w:cs="Arial"/>
        </w:rPr>
        <w:t xml:space="preserve">Number of control rooms operated </w:t>
      </w:r>
    </w:p>
    <w:p w14:paraId="7F3AE079" w14:textId="77777777" w:rsidR="003D1037" w:rsidRPr="003D1037" w:rsidRDefault="003D1037" w:rsidP="003D1037">
      <w:pPr>
        <w:pStyle w:val="PlainText"/>
        <w:numPr>
          <w:ilvl w:val="0"/>
          <w:numId w:val="62"/>
        </w:numPr>
        <w:rPr>
          <w:rFonts w:ascii="Arial" w:hAnsi="Arial" w:cs="Arial"/>
        </w:rPr>
      </w:pPr>
      <w:r w:rsidRPr="003D1037">
        <w:rPr>
          <w:rFonts w:ascii="Arial" w:hAnsi="Arial" w:cs="Arial"/>
        </w:rPr>
        <w:t xml:space="preserve">Approximate number of ICCS operator positions </w:t>
      </w:r>
    </w:p>
    <w:p w14:paraId="10C27D98" w14:textId="77777777" w:rsidR="003D1037" w:rsidRPr="003D1037" w:rsidRDefault="003D1037" w:rsidP="003D1037">
      <w:pPr>
        <w:pStyle w:val="PlainText"/>
        <w:numPr>
          <w:ilvl w:val="0"/>
          <w:numId w:val="62"/>
        </w:numPr>
        <w:rPr>
          <w:rFonts w:ascii="Arial" w:hAnsi="Arial" w:cs="Arial"/>
        </w:rPr>
      </w:pPr>
      <w:r w:rsidRPr="003D1037">
        <w:rPr>
          <w:rFonts w:ascii="Arial" w:hAnsi="Arial" w:cs="Arial"/>
        </w:rPr>
        <w:t xml:space="preserve">Approximate number of operational staff covered by the rostering system </w:t>
      </w:r>
    </w:p>
    <w:p w14:paraId="1058D89C" w14:textId="77777777" w:rsidR="003D1037" w:rsidRPr="003D1037" w:rsidRDefault="003D1037" w:rsidP="003D1037">
      <w:pPr>
        <w:pStyle w:val="PlainText"/>
        <w:rPr>
          <w:rFonts w:ascii="Arial" w:hAnsi="Arial" w:cs="Arial"/>
          <w:b/>
          <w:bCs/>
        </w:rPr>
      </w:pPr>
    </w:p>
    <w:p w14:paraId="3B7A887A" w14:textId="77777777" w:rsidR="003D1037" w:rsidRPr="003D1037" w:rsidRDefault="003D1037" w:rsidP="003D1037">
      <w:pPr>
        <w:pStyle w:val="PlainText"/>
        <w:rPr>
          <w:rFonts w:ascii="Arial" w:hAnsi="Arial" w:cs="Arial"/>
          <w:b/>
          <w:bCs/>
        </w:rPr>
      </w:pPr>
      <w:r w:rsidRPr="003D1037">
        <w:rPr>
          <w:rFonts w:ascii="Arial" w:hAnsi="Arial" w:cs="Arial"/>
          <w:b/>
          <w:bCs/>
        </w:rPr>
        <w:lastRenderedPageBreak/>
        <w:t xml:space="preserve">Unfortunately, we are unable to provide this information as it is exempt under Section 24(1) National Security, Section 31(1) Law Enforcement, and Section 38(1) Health and Safety. Further detail on these exemptions can be found at the end of our response. </w:t>
      </w:r>
    </w:p>
    <w:p w14:paraId="66D285D0" w14:textId="77777777" w:rsidR="003D1037" w:rsidRPr="003D1037" w:rsidRDefault="003D1037" w:rsidP="003D1037">
      <w:pPr>
        <w:pStyle w:val="PlainText"/>
        <w:rPr>
          <w:rFonts w:ascii="Arial" w:hAnsi="Arial" w:cs="Arial"/>
          <w:b/>
          <w:bCs/>
        </w:rPr>
      </w:pPr>
    </w:p>
    <w:p w14:paraId="35646011" w14:textId="77777777" w:rsidR="003D1037" w:rsidRPr="003D1037" w:rsidRDefault="003D1037" w:rsidP="003D1037">
      <w:pPr>
        <w:pStyle w:val="PlainText"/>
        <w:rPr>
          <w:rFonts w:ascii="Arial" w:hAnsi="Arial" w:cs="Arial"/>
          <w:b/>
          <w:bCs/>
          <w:u w:val="single"/>
        </w:rPr>
      </w:pPr>
      <w:r w:rsidRPr="003D1037">
        <w:rPr>
          <w:rFonts w:ascii="Arial" w:hAnsi="Arial" w:cs="Arial"/>
          <w:b/>
          <w:bCs/>
          <w:u w:val="single"/>
        </w:rPr>
        <w:t>Exemptions Applied</w:t>
      </w:r>
    </w:p>
    <w:p w14:paraId="66C64E68" w14:textId="77777777" w:rsidR="003D1037" w:rsidRPr="003D1037" w:rsidRDefault="003D1037" w:rsidP="003D1037">
      <w:pPr>
        <w:pStyle w:val="PlainText"/>
        <w:rPr>
          <w:rFonts w:ascii="Arial" w:hAnsi="Arial" w:cs="Arial"/>
        </w:rPr>
      </w:pPr>
      <w:r w:rsidRPr="003D1037">
        <w:rPr>
          <w:rFonts w:ascii="Arial" w:hAnsi="Arial" w:cs="Arial"/>
        </w:rPr>
        <w:t>Section 43(2), Section 31(1), and 38(1) are prejudice (harm) based exemptions, Section 41,  and 24(1) require a public interest test.</w:t>
      </w:r>
    </w:p>
    <w:p w14:paraId="60BACAA4" w14:textId="77777777" w:rsidR="003D1037" w:rsidRPr="003D1037" w:rsidRDefault="003D1037" w:rsidP="003D1037">
      <w:pPr>
        <w:pStyle w:val="PlainText"/>
        <w:rPr>
          <w:rFonts w:ascii="Arial" w:hAnsi="Arial" w:cs="Arial"/>
          <w:b/>
          <w:bCs/>
        </w:rPr>
      </w:pPr>
    </w:p>
    <w:p w14:paraId="78FCCDC4" w14:textId="77777777" w:rsidR="003D1037" w:rsidRPr="003D1037" w:rsidRDefault="003D1037" w:rsidP="003D1037">
      <w:pPr>
        <w:pStyle w:val="PlainText"/>
        <w:rPr>
          <w:rFonts w:ascii="Arial" w:hAnsi="Arial" w:cs="Arial"/>
          <w:b/>
          <w:bCs/>
        </w:rPr>
      </w:pPr>
      <w:r w:rsidRPr="003D1037">
        <w:rPr>
          <w:rFonts w:ascii="Arial" w:hAnsi="Arial" w:cs="Arial"/>
          <w:b/>
          <w:bCs/>
        </w:rPr>
        <w:t>Section 43(2) Commercial Interests</w:t>
      </w:r>
    </w:p>
    <w:p w14:paraId="156ED064" w14:textId="77777777" w:rsidR="003D1037" w:rsidRPr="003D1037" w:rsidRDefault="003D1037" w:rsidP="003D1037">
      <w:pPr>
        <w:pStyle w:val="PlainText"/>
        <w:rPr>
          <w:rFonts w:ascii="Arial" w:hAnsi="Arial" w:cs="Arial"/>
          <w:u w:val="single"/>
        </w:rPr>
      </w:pPr>
      <w:r w:rsidRPr="003D1037">
        <w:rPr>
          <w:rFonts w:ascii="Arial" w:hAnsi="Arial" w:cs="Arial"/>
          <w:u w:val="single"/>
        </w:rPr>
        <w:t>Prejudice (Harm)</w:t>
      </w:r>
    </w:p>
    <w:p w14:paraId="573D4D4A" w14:textId="77777777" w:rsidR="003D1037" w:rsidRPr="003D1037" w:rsidRDefault="003D1037" w:rsidP="003D1037">
      <w:pPr>
        <w:pStyle w:val="PlainText"/>
        <w:rPr>
          <w:rFonts w:ascii="Arial" w:hAnsi="Arial" w:cs="Arial"/>
        </w:rPr>
      </w:pPr>
      <w:r w:rsidRPr="003D1037">
        <w:rPr>
          <w:rFonts w:ascii="Arial" w:hAnsi="Arial" w:cs="Arial"/>
        </w:rPr>
        <w:t>Disclosure of this information would be likely to prejudice the supplier’s ability to negotiate effectively and operate in a competitive market as this could allow competitors to gain an unfair advantage. Disclosure would also be likely to prejudice Humberside Fire and Rescue Service’s commercial interests as this could harm relationships with suppliers or partners.</w:t>
      </w:r>
    </w:p>
    <w:p w14:paraId="65CAFC3A" w14:textId="77777777" w:rsidR="003D1037" w:rsidRPr="003D1037" w:rsidRDefault="003D1037" w:rsidP="003D1037">
      <w:pPr>
        <w:pStyle w:val="PlainText"/>
        <w:rPr>
          <w:rFonts w:ascii="Arial" w:hAnsi="Arial" w:cs="Arial"/>
          <w:u w:val="single"/>
        </w:rPr>
      </w:pPr>
      <w:r w:rsidRPr="003D1037">
        <w:rPr>
          <w:rFonts w:ascii="Arial" w:hAnsi="Arial" w:cs="Arial"/>
          <w:u w:val="single"/>
        </w:rPr>
        <w:t>Public Interest Test</w:t>
      </w:r>
    </w:p>
    <w:p w14:paraId="373B2FF0" w14:textId="77777777" w:rsidR="003D1037" w:rsidRPr="003D1037" w:rsidRDefault="003D1037" w:rsidP="003D1037">
      <w:pPr>
        <w:pStyle w:val="PlainText"/>
        <w:rPr>
          <w:rFonts w:ascii="Arial" w:hAnsi="Arial" w:cs="Arial"/>
        </w:rPr>
      </w:pPr>
      <w:r w:rsidRPr="003D1037">
        <w:rPr>
          <w:rFonts w:ascii="Arial" w:hAnsi="Arial" w:cs="Arial"/>
        </w:rPr>
        <w:t xml:space="preserve">Factors favouring disclosure – There is a legitimate public interest in how public funding is being spent and that as a public service that we are receiving value for money in terms of our suppliers. </w:t>
      </w:r>
    </w:p>
    <w:p w14:paraId="74AACF1E" w14:textId="77777777" w:rsidR="003D1037" w:rsidRPr="003D1037" w:rsidRDefault="003D1037" w:rsidP="003D1037">
      <w:pPr>
        <w:pStyle w:val="PlainText"/>
        <w:rPr>
          <w:rFonts w:ascii="Arial" w:hAnsi="Arial" w:cs="Arial"/>
        </w:rPr>
      </w:pPr>
      <w:r w:rsidRPr="003D1037">
        <w:rPr>
          <w:rFonts w:ascii="Arial" w:hAnsi="Arial" w:cs="Arial"/>
        </w:rPr>
        <w:t xml:space="preserve">Factors favouring non-disclosure – Disclosing this information would prejudice Humberside Fire and Rescue service’s relationships with suppliers or partners and therefore prejudicing our ability to receive better value for money in terms of our suppliers. </w:t>
      </w:r>
    </w:p>
    <w:p w14:paraId="57D8B64C" w14:textId="77777777" w:rsidR="003D1037" w:rsidRPr="003D1037" w:rsidRDefault="003D1037" w:rsidP="003D1037">
      <w:pPr>
        <w:pStyle w:val="PlainText"/>
        <w:rPr>
          <w:rFonts w:ascii="Arial" w:hAnsi="Arial" w:cs="Arial"/>
          <w:u w:val="single"/>
        </w:rPr>
      </w:pPr>
      <w:r w:rsidRPr="003D1037">
        <w:rPr>
          <w:rFonts w:ascii="Arial" w:hAnsi="Arial" w:cs="Arial"/>
          <w:u w:val="single"/>
        </w:rPr>
        <w:t>Balance Test</w:t>
      </w:r>
    </w:p>
    <w:p w14:paraId="2FD659F3" w14:textId="77777777" w:rsidR="003D1037" w:rsidRPr="003D1037" w:rsidRDefault="003D1037" w:rsidP="003D1037">
      <w:pPr>
        <w:pStyle w:val="PlainText"/>
        <w:rPr>
          <w:rFonts w:ascii="Arial" w:hAnsi="Arial" w:cs="Arial"/>
        </w:rPr>
      </w:pPr>
      <w:r w:rsidRPr="003D1037">
        <w:rPr>
          <w:rFonts w:ascii="Arial" w:hAnsi="Arial" w:cs="Arial"/>
        </w:rPr>
        <w:t xml:space="preserve">It is not in the public interest to disclose this information as it would be likely to prejudice our commercial interests and the commercial interests of the supplier, therefore prejudicing ours and other public services ability to receive better value for money. </w:t>
      </w:r>
    </w:p>
    <w:p w14:paraId="4D459F09" w14:textId="77777777" w:rsidR="003D1037" w:rsidRPr="003D1037" w:rsidRDefault="003D1037" w:rsidP="003D1037">
      <w:pPr>
        <w:pStyle w:val="PlainText"/>
        <w:rPr>
          <w:rFonts w:ascii="Arial" w:hAnsi="Arial" w:cs="Arial"/>
          <w:b/>
          <w:bCs/>
        </w:rPr>
      </w:pPr>
    </w:p>
    <w:p w14:paraId="02F2FB5C" w14:textId="77777777" w:rsidR="003D1037" w:rsidRPr="003D1037" w:rsidRDefault="003D1037" w:rsidP="003D1037">
      <w:pPr>
        <w:pStyle w:val="PlainText"/>
        <w:rPr>
          <w:rFonts w:ascii="Arial" w:hAnsi="Arial" w:cs="Arial"/>
          <w:b/>
          <w:bCs/>
        </w:rPr>
      </w:pPr>
      <w:r w:rsidRPr="003D1037">
        <w:rPr>
          <w:rFonts w:ascii="Arial" w:hAnsi="Arial" w:cs="Arial"/>
          <w:b/>
          <w:bCs/>
        </w:rPr>
        <w:t>Section 41 Information Provided in Confidence</w:t>
      </w:r>
    </w:p>
    <w:p w14:paraId="3EA198CB" w14:textId="77777777" w:rsidR="003D1037" w:rsidRPr="003D1037" w:rsidRDefault="003D1037" w:rsidP="003D1037">
      <w:pPr>
        <w:pStyle w:val="PlainText"/>
        <w:rPr>
          <w:rFonts w:ascii="Arial" w:hAnsi="Arial" w:cs="Arial"/>
          <w:u w:val="single"/>
        </w:rPr>
      </w:pPr>
      <w:r w:rsidRPr="003D1037">
        <w:rPr>
          <w:rFonts w:ascii="Arial" w:hAnsi="Arial" w:cs="Arial"/>
          <w:u w:val="single"/>
        </w:rPr>
        <w:t>Public Interest Test</w:t>
      </w:r>
    </w:p>
    <w:p w14:paraId="586F6935" w14:textId="77777777" w:rsidR="003D1037" w:rsidRPr="003D1037" w:rsidRDefault="003D1037" w:rsidP="003D1037">
      <w:pPr>
        <w:pStyle w:val="PlainText"/>
        <w:rPr>
          <w:rFonts w:ascii="Arial" w:hAnsi="Arial" w:cs="Arial"/>
        </w:rPr>
      </w:pPr>
      <w:r w:rsidRPr="003D1037">
        <w:rPr>
          <w:rFonts w:ascii="Arial" w:hAnsi="Arial" w:cs="Arial"/>
        </w:rPr>
        <w:t xml:space="preserve">Factors favouring disclosure – There is a legitimate public interest in how public funding is being spent and that as a public service that we are receiving value for money in terms of our suppliers. </w:t>
      </w:r>
    </w:p>
    <w:p w14:paraId="4523EF58" w14:textId="77777777" w:rsidR="003D1037" w:rsidRPr="003D1037" w:rsidRDefault="003D1037" w:rsidP="003D1037">
      <w:pPr>
        <w:pStyle w:val="PlainText"/>
        <w:rPr>
          <w:rFonts w:ascii="Arial" w:hAnsi="Arial" w:cs="Arial"/>
        </w:rPr>
      </w:pPr>
      <w:r w:rsidRPr="003D1037">
        <w:rPr>
          <w:rFonts w:ascii="Arial" w:hAnsi="Arial" w:cs="Arial"/>
        </w:rPr>
        <w:t xml:space="preserve">Factors favouring non-disclosure – Disclosing this information would prejudice Humberside Fire and Rescue service’s relationships with suppliers or partners and therefore prejudicing our ability to receive better value for money in terms of our suppliers. </w:t>
      </w:r>
    </w:p>
    <w:p w14:paraId="0EA1DBB0" w14:textId="77777777" w:rsidR="003D1037" w:rsidRPr="003D1037" w:rsidRDefault="003D1037" w:rsidP="003D1037">
      <w:pPr>
        <w:pStyle w:val="PlainText"/>
        <w:rPr>
          <w:rFonts w:ascii="Arial" w:hAnsi="Arial" w:cs="Arial"/>
          <w:u w:val="single"/>
        </w:rPr>
      </w:pPr>
      <w:r w:rsidRPr="003D1037">
        <w:rPr>
          <w:rFonts w:ascii="Arial" w:hAnsi="Arial" w:cs="Arial"/>
          <w:u w:val="single"/>
        </w:rPr>
        <w:t>Balancing Test</w:t>
      </w:r>
    </w:p>
    <w:p w14:paraId="7275A4CF" w14:textId="77777777" w:rsidR="003D1037" w:rsidRPr="003D1037" w:rsidRDefault="003D1037" w:rsidP="003D1037">
      <w:pPr>
        <w:pStyle w:val="PlainText"/>
        <w:rPr>
          <w:rFonts w:ascii="Arial" w:hAnsi="Arial" w:cs="Arial"/>
        </w:rPr>
      </w:pPr>
      <w:r w:rsidRPr="003D1037">
        <w:rPr>
          <w:rFonts w:ascii="Arial" w:hAnsi="Arial" w:cs="Arial"/>
        </w:rPr>
        <w:t xml:space="preserve">It is not in the public interest to disclose this information as it would be likely to harm ours and other public services ability to receive better value for money. </w:t>
      </w:r>
    </w:p>
    <w:p w14:paraId="26408A0B" w14:textId="77777777" w:rsidR="003D1037" w:rsidRPr="003D1037" w:rsidRDefault="003D1037" w:rsidP="003D1037">
      <w:pPr>
        <w:pStyle w:val="PlainText"/>
        <w:rPr>
          <w:rFonts w:ascii="Arial" w:hAnsi="Arial" w:cs="Arial"/>
          <w:b/>
          <w:bCs/>
        </w:rPr>
      </w:pPr>
    </w:p>
    <w:p w14:paraId="14FC90C1" w14:textId="77777777" w:rsidR="003D1037" w:rsidRPr="003D1037" w:rsidRDefault="003D1037" w:rsidP="003D1037">
      <w:pPr>
        <w:pStyle w:val="PlainText"/>
        <w:rPr>
          <w:rFonts w:ascii="Arial" w:hAnsi="Arial" w:cs="Arial"/>
          <w:b/>
          <w:bCs/>
        </w:rPr>
      </w:pPr>
      <w:r w:rsidRPr="003D1037">
        <w:rPr>
          <w:rFonts w:ascii="Arial" w:hAnsi="Arial" w:cs="Arial"/>
          <w:b/>
          <w:bCs/>
        </w:rPr>
        <w:t>24(1) National Security</w:t>
      </w:r>
    </w:p>
    <w:p w14:paraId="3849FDE7" w14:textId="77777777" w:rsidR="003D1037" w:rsidRPr="003D1037" w:rsidRDefault="003D1037" w:rsidP="003D1037">
      <w:pPr>
        <w:pStyle w:val="PlainText"/>
        <w:rPr>
          <w:rFonts w:ascii="Arial" w:hAnsi="Arial" w:cs="Arial"/>
          <w:u w:val="single"/>
        </w:rPr>
      </w:pPr>
      <w:r w:rsidRPr="003D1037">
        <w:rPr>
          <w:rFonts w:ascii="Arial" w:hAnsi="Arial" w:cs="Arial"/>
          <w:u w:val="single"/>
        </w:rPr>
        <w:t>Public Interest Test</w:t>
      </w:r>
    </w:p>
    <w:p w14:paraId="099E4CD4" w14:textId="77777777" w:rsidR="003D1037" w:rsidRPr="003D1037" w:rsidRDefault="003D1037" w:rsidP="003D1037">
      <w:pPr>
        <w:pStyle w:val="PlainText"/>
        <w:rPr>
          <w:rFonts w:ascii="Arial" w:hAnsi="Arial" w:cs="Arial"/>
        </w:rPr>
      </w:pPr>
      <w:r w:rsidRPr="003D1037">
        <w:rPr>
          <w:rFonts w:ascii="Arial" w:hAnsi="Arial" w:cs="Arial"/>
        </w:rPr>
        <w:t xml:space="preserve">Factors favouring disclosure – there is a legitimate public interest that Humberside Fire and Rescue have appropriate arrangements and systems in place to support effective service delivery. </w:t>
      </w:r>
    </w:p>
    <w:p w14:paraId="18F6268D" w14:textId="77777777" w:rsidR="003D1037" w:rsidRPr="003D1037" w:rsidRDefault="003D1037" w:rsidP="003D1037">
      <w:pPr>
        <w:pStyle w:val="PlainText"/>
        <w:rPr>
          <w:rFonts w:ascii="Arial" w:hAnsi="Arial" w:cs="Arial"/>
          <w:u w:val="single"/>
        </w:rPr>
      </w:pPr>
      <w:r w:rsidRPr="003D1037">
        <w:rPr>
          <w:rFonts w:ascii="Arial" w:hAnsi="Arial" w:cs="Arial"/>
        </w:rPr>
        <w:t>Factors favouring non-disclosure – Disclosing this information will invite those with malicious intent to disrupt or exploit our systems therefore endangering both staff and the public.</w:t>
      </w:r>
      <w:r w:rsidRPr="003D1037">
        <w:rPr>
          <w:rFonts w:ascii="Arial" w:hAnsi="Arial" w:cs="Arial"/>
          <w:u w:val="single"/>
        </w:rPr>
        <w:t xml:space="preserve"> </w:t>
      </w:r>
    </w:p>
    <w:p w14:paraId="3631B847" w14:textId="77777777" w:rsidR="003D1037" w:rsidRPr="003D1037" w:rsidRDefault="003D1037" w:rsidP="003D1037">
      <w:pPr>
        <w:pStyle w:val="PlainText"/>
        <w:rPr>
          <w:rFonts w:ascii="Arial" w:hAnsi="Arial" w:cs="Arial"/>
          <w:u w:val="single"/>
        </w:rPr>
      </w:pPr>
      <w:r w:rsidRPr="003D1037">
        <w:rPr>
          <w:rFonts w:ascii="Arial" w:hAnsi="Arial" w:cs="Arial"/>
          <w:u w:val="single"/>
        </w:rPr>
        <w:t>Balancing Test</w:t>
      </w:r>
    </w:p>
    <w:p w14:paraId="2C775974" w14:textId="77777777" w:rsidR="003D1037" w:rsidRPr="003D1037" w:rsidRDefault="003D1037" w:rsidP="003D1037">
      <w:pPr>
        <w:pStyle w:val="PlainText"/>
        <w:rPr>
          <w:rFonts w:ascii="Arial" w:hAnsi="Arial" w:cs="Arial"/>
        </w:rPr>
      </w:pPr>
      <w:r w:rsidRPr="003D1037">
        <w:rPr>
          <w:rFonts w:ascii="Arial" w:hAnsi="Arial" w:cs="Arial"/>
        </w:rPr>
        <w:t xml:space="preserve">It is not in the public interest to disclose this information as it would be likely to invite individuals with malicious intent to disrupt Humberside Fire and Rescue Service’s service delivery and endanger both staff and the public. </w:t>
      </w:r>
    </w:p>
    <w:p w14:paraId="79AF92ED" w14:textId="77777777" w:rsidR="003D1037" w:rsidRPr="003D1037" w:rsidRDefault="003D1037" w:rsidP="003D1037">
      <w:pPr>
        <w:pStyle w:val="PlainText"/>
        <w:rPr>
          <w:rFonts w:ascii="Arial" w:hAnsi="Arial" w:cs="Arial"/>
          <w:b/>
          <w:bCs/>
        </w:rPr>
      </w:pPr>
    </w:p>
    <w:p w14:paraId="5FA47B7E" w14:textId="77777777" w:rsidR="003D1037" w:rsidRPr="003D1037" w:rsidRDefault="003D1037" w:rsidP="003D1037">
      <w:pPr>
        <w:pStyle w:val="PlainText"/>
        <w:rPr>
          <w:rFonts w:ascii="Arial" w:hAnsi="Arial" w:cs="Arial"/>
          <w:b/>
          <w:bCs/>
        </w:rPr>
      </w:pPr>
      <w:r w:rsidRPr="003D1037">
        <w:rPr>
          <w:rFonts w:ascii="Arial" w:hAnsi="Arial" w:cs="Arial"/>
          <w:b/>
          <w:bCs/>
        </w:rPr>
        <w:t>Section 31(1) Law Enforcement</w:t>
      </w:r>
    </w:p>
    <w:p w14:paraId="4422721B" w14:textId="77777777" w:rsidR="003D1037" w:rsidRPr="003D1037" w:rsidRDefault="003D1037" w:rsidP="003D1037">
      <w:pPr>
        <w:pStyle w:val="PlainText"/>
        <w:rPr>
          <w:rFonts w:ascii="Arial" w:hAnsi="Arial" w:cs="Arial"/>
          <w:u w:val="single"/>
        </w:rPr>
      </w:pPr>
      <w:r w:rsidRPr="003D1037">
        <w:rPr>
          <w:rFonts w:ascii="Arial" w:hAnsi="Arial" w:cs="Arial"/>
          <w:u w:val="single"/>
        </w:rPr>
        <w:t>Prejudice (Harm)</w:t>
      </w:r>
    </w:p>
    <w:p w14:paraId="78804DC5" w14:textId="77777777" w:rsidR="003D1037" w:rsidRPr="003D1037" w:rsidRDefault="003D1037" w:rsidP="003D1037">
      <w:pPr>
        <w:pStyle w:val="PlainText"/>
        <w:rPr>
          <w:rFonts w:ascii="Arial" w:hAnsi="Arial" w:cs="Arial"/>
        </w:rPr>
      </w:pPr>
      <w:r w:rsidRPr="003D1037">
        <w:rPr>
          <w:rFonts w:ascii="Arial" w:hAnsi="Arial" w:cs="Arial"/>
        </w:rPr>
        <w:t xml:space="preserve">Disclosing this information would be likely to prejudice (harm) the prevention and detection of crime as it would allow someone with malicious intent to disrupt our systems and therefore disrupt ongoing operations that would allow us to detect and prevent crime. </w:t>
      </w:r>
    </w:p>
    <w:p w14:paraId="6D348835" w14:textId="77777777" w:rsidR="003D1037" w:rsidRPr="003D1037" w:rsidRDefault="003D1037" w:rsidP="003D1037">
      <w:pPr>
        <w:pStyle w:val="PlainText"/>
        <w:rPr>
          <w:rFonts w:ascii="Arial" w:hAnsi="Arial" w:cs="Arial"/>
          <w:u w:val="single"/>
        </w:rPr>
      </w:pPr>
      <w:r w:rsidRPr="003D1037">
        <w:rPr>
          <w:rFonts w:ascii="Arial" w:hAnsi="Arial" w:cs="Arial"/>
          <w:u w:val="single"/>
        </w:rPr>
        <w:t>Public Interest Test</w:t>
      </w:r>
    </w:p>
    <w:p w14:paraId="135A4D05" w14:textId="77777777" w:rsidR="003D1037" w:rsidRPr="003D1037" w:rsidRDefault="003D1037" w:rsidP="003D1037">
      <w:pPr>
        <w:pStyle w:val="PlainText"/>
        <w:rPr>
          <w:rFonts w:ascii="Arial" w:hAnsi="Arial" w:cs="Arial"/>
        </w:rPr>
      </w:pPr>
      <w:r w:rsidRPr="003D1037">
        <w:rPr>
          <w:rFonts w:ascii="Arial" w:hAnsi="Arial" w:cs="Arial"/>
        </w:rPr>
        <w:lastRenderedPageBreak/>
        <w:t xml:space="preserve">Factors favouring disclosure – There is a legitimate public interest that Humberside Fire and Rescue Service have strong and effective systems and controls in place to ensure that operations are carried out effectively. </w:t>
      </w:r>
    </w:p>
    <w:p w14:paraId="0A4984B9" w14:textId="77777777" w:rsidR="003D1037" w:rsidRPr="003D1037" w:rsidRDefault="003D1037" w:rsidP="003D1037">
      <w:pPr>
        <w:pStyle w:val="PlainText"/>
        <w:rPr>
          <w:rFonts w:ascii="Arial" w:hAnsi="Arial" w:cs="Arial"/>
        </w:rPr>
      </w:pPr>
      <w:r w:rsidRPr="003D1037">
        <w:rPr>
          <w:rFonts w:ascii="Arial" w:hAnsi="Arial" w:cs="Arial"/>
        </w:rPr>
        <w:t>Factors favouring non-disclosure – Disclosing this information will invite those with malicious intent to disrupt or exploit our systems, therefore disrupting our operations.</w:t>
      </w:r>
    </w:p>
    <w:p w14:paraId="417560C2" w14:textId="77777777" w:rsidR="003D1037" w:rsidRPr="003D1037" w:rsidRDefault="003D1037" w:rsidP="003D1037">
      <w:pPr>
        <w:pStyle w:val="PlainText"/>
        <w:rPr>
          <w:rFonts w:ascii="Arial" w:hAnsi="Arial" w:cs="Arial"/>
          <w:u w:val="single"/>
        </w:rPr>
      </w:pPr>
      <w:r w:rsidRPr="003D1037">
        <w:rPr>
          <w:rFonts w:ascii="Arial" w:hAnsi="Arial" w:cs="Arial"/>
          <w:u w:val="single"/>
        </w:rPr>
        <w:t>Balancing Test</w:t>
      </w:r>
    </w:p>
    <w:p w14:paraId="4F0DCB1E" w14:textId="77777777" w:rsidR="003D1037" w:rsidRPr="003D1037" w:rsidRDefault="003D1037" w:rsidP="003D1037">
      <w:pPr>
        <w:pStyle w:val="PlainText"/>
        <w:rPr>
          <w:rFonts w:ascii="Arial" w:hAnsi="Arial" w:cs="Arial"/>
        </w:rPr>
      </w:pPr>
      <w:r w:rsidRPr="003D1037">
        <w:rPr>
          <w:rFonts w:ascii="Arial" w:hAnsi="Arial" w:cs="Arial"/>
        </w:rPr>
        <w:t xml:space="preserve">It is not in the public interest to disclose this information as it would be likely to invite individuals with malicious intent to disrupt our ongoing operations and therefore disrupting our capabilities to detect and prevent crime. </w:t>
      </w:r>
    </w:p>
    <w:p w14:paraId="5F36132A" w14:textId="77777777" w:rsidR="003D1037" w:rsidRPr="003D1037" w:rsidRDefault="003D1037" w:rsidP="003D1037">
      <w:pPr>
        <w:pStyle w:val="PlainText"/>
        <w:rPr>
          <w:rFonts w:ascii="Arial" w:hAnsi="Arial" w:cs="Arial"/>
        </w:rPr>
      </w:pPr>
    </w:p>
    <w:p w14:paraId="388A2739" w14:textId="77777777" w:rsidR="003D1037" w:rsidRPr="003D1037" w:rsidRDefault="003D1037" w:rsidP="003D1037">
      <w:pPr>
        <w:pStyle w:val="PlainText"/>
        <w:rPr>
          <w:rFonts w:ascii="Arial" w:hAnsi="Arial" w:cs="Arial"/>
          <w:b/>
          <w:bCs/>
        </w:rPr>
      </w:pPr>
      <w:r w:rsidRPr="003D1037">
        <w:rPr>
          <w:rFonts w:ascii="Arial" w:hAnsi="Arial" w:cs="Arial"/>
          <w:b/>
          <w:bCs/>
        </w:rPr>
        <w:t>Section 38(1) Health and Safety</w:t>
      </w:r>
    </w:p>
    <w:p w14:paraId="270F7DF1" w14:textId="77777777" w:rsidR="003D1037" w:rsidRPr="003D1037" w:rsidRDefault="003D1037" w:rsidP="003D1037">
      <w:pPr>
        <w:pStyle w:val="PlainText"/>
        <w:rPr>
          <w:rFonts w:ascii="Arial" w:hAnsi="Arial" w:cs="Arial"/>
          <w:u w:val="single"/>
        </w:rPr>
      </w:pPr>
      <w:r w:rsidRPr="003D1037">
        <w:rPr>
          <w:rFonts w:ascii="Arial" w:hAnsi="Arial" w:cs="Arial"/>
          <w:u w:val="single"/>
        </w:rPr>
        <w:t>Prejudice (Harm)</w:t>
      </w:r>
    </w:p>
    <w:p w14:paraId="185F3DED" w14:textId="77777777" w:rsidR="003D1037" w:rsidRPr="003D1037" w:rsidRDefault="003D1037" w:rsidP="003D1037">
      <w:pPr>
        <w:pStyle w:val="PlainText"/>
        <w:rPr>
          <w:rFonts w:ascii="Arial" w:hAnsi="Arial" w:cs="Arial"/>
        </w:rPr>
      </w:pPr>
      <w:r w:rsidRPr="003D1037">
        <w:rPr>
          <w:rFonts w:ascii="Arial" w:hAnsi="Arial" w:cs="Arial"/>
        </w:rPr>
        <w:t>Disclosing this information would be likely to invite someone with malicious intent to disrupt our systems and operations, therefore endangering the safety of members of the public and our staff.</w:t>
      </w:r>
    </w:p>
    <w:p w14:paraId="18D7697E" w14:textId="77777777" w:rsidR="003D1037" w:rsidRPr="003D1037" w:rsidRDefault="003D1037" w:rsidP="003D1037">
      <w:pPr>
        <w:pStyle w:val="PlainText"/>
        <w:rPr>
          <w:rFonts w:ascii="Arial" w:hAnsi="Arial" w:cs="Arial"/>
          <w:u w:val="single"/>
        </w:rPr>
      </w:pPr>
      <w:r w:rsidRPr="003D1037">
        <w:rPr>
          <w:rFonts w:ascii="Arial" w:hAnsi="Arial" w:cs="Arial"/>
          <w:u w:val="single"/>
        </w:rPr>
        <w:t>Public Interest Test</w:t>
      </w:r>
    </w:p>
    <w:p w14:paraId="1AF6C9B0" w14:textId="77777777" w:rsidR="003D1037" w:rsidRPr="003D1037" w:rsidRDefault="003D1037" w:rsidP="003D1037">
      <w:pPr>
        <w:pStyle w:val="PlainText"/>
        <w:rPr>
          <w:rFonts w:ascii="Arial" w:hAnsi="Arial" w:cs="Arial"/>
        </w:rPr>
      </w:pPr>
      <w:r w:rsidRPr="003D1037">
        <w:rPr>
          <w:rFonts w:ascii="Arial" w:hAnsi="Arial" w:cs="Arial"/>
        </w:rPr>
        <w:t xml:space="preserve">Factors favouring disclosure – There is a legitimate public interest that Humberside Fire and Rescue Service have strong and effective systems and controls in place to support effective service delivery. </w:t>
      </w:r>
    </w:p>
    <w:p w14:paraId="08A42049" w14:textId="77777777" w:rsidR="003D1037" w:rsidRPr="003D1037" w:rsidRDefault="003D1037" w:rsidP="003D1037">
      <w:pPr>
        <w:pStyle w:val="PlainText"/>
        <w:rPr>
          <w:rFonts w:ascii="Arial" w:hAnsi="Arial" w:cs="Arial"/>
        </w:rPr>
      </w:pPr>
      <w:r w:rsidRPr="003D1037">
        <w:rPr>
          <w:rFonts w:ascii="Arial" w:hAnsi="Arial" w:cs="Arial"/>
        </w:rPr>
        <w:t>Factors favouring non-disclosure – Disclosing this information will invite those with malicious intent to disrupt or exploit our systems, therefore disrupting our operations and putting the public and our staff at risk of danger.</w:t>
      </w:r>
    </w:p>
    <w:p w14:paraId="1B773E9A" w14:textId="77777777" w:rsidR="003D1037" w:rsidRPr="003D1037" w:rsidRDefault="003D1037" w:rsidP="003D1037">
      <w:pPr>
        <w:pStyle w:val="PlainText"/>
        <w:rPr>
          <w:rFonts w:ascii="Arial" w:hAnsi="Arial" w:cs="Arial"/>
          <w:u w:val="single"/>
        </w:rPr>
      </w:pPr>
      <w:r w:rsidRPr="003D1037">
        <w:rPr>
          <w:rFonts w:ascii="Arial" w:hAnsi="Arial" w:cs="Arial"/>
          <w:u w:val="single"/>
        </w:rPr>
        <w:t>Balancing Test</w:t>
      </w:r>
    </w:p>
    <w:p w14:paraId="48A9689F" w14:textId="77777777" w:rsidR="003D1037" w:rsidRPr="003D1037" w:rsidRDefault="003D1037" w:rsidP="003D1037">
      <w:pPr>
        <w:pStyle w:val="PlainText"/>
        <w:rPr>
          <w:rFonts w:ascii="Arial" w:hAnsi="Arial" w:cs="Arial"/>
        </w:rPr>
      </w:pPr>
      <w:r w:rsidRPr="003D1037">
        <w:rPr>
          <w:rFonts w:ascii="Arial" w:hAnsi="Arial" w:cs="Arial"/>
        </w:rPr>
        <w:t xml:space="preserve">It is not in the public interest to disclose this information as it would be likely to invite individuals with malicious intent to exploit our systems and disrupt our operations, therefore putting the public and our staff at risk of danger. </w:t>
      </w:r>
    </w:p>
    <w:p w14:paraId="637FE908" w14:textId="261F6AF6" w:rsidR="00A35C80" w:rsidRPr="00FB38E6" w:rsidRDefault="00A35C80" w:rsidP="003D1037">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2"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31"/>
    <w:multiLevelType w:val="hybridMultilevel"/>
    <w:tmpl w:val="3F809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08B140E"/>
    <w:multiLevelType w:val="hybridMultilevel"/>
    <w:tmpl w:val="302E9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AD3BE4"/>
    <w:multiLevelType w:val="hybridMultilevel"/>
    <w:tmpl w:val="BEE8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9F5413"/>
    <w:multiLevelType w:val="hybridMultilevel"/>
    <w:tmpl w:val="44A4C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616CE0"/>
    <w:multiLevelType w:val="hybridMultilevel"/>
    <w:tmpl w:val="4D287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94C2CB7"/>
    <w:multiLevelType w:val="hybridMultilevel"/>
    <w:tmpl w:val="3312C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AF28B1"/>
    <w:multiLevelType w:val="multilevel"/>
    <w:tmpl w:val="A95A7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163C33"/>
    <w:multiLevelType w:val="hybridMultilevel"/>
    <w:tmpl w:val="6C58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2E469D3"/>
    <w:multiLevelType w:val="multilevel"/>
    <w:tmpl w:val="090A2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83CF7"/>
    <w:multiLevelType w:val="hybridMultilevel"/>
    <w:tmpl w:val="0024A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E025C17"/>
    <w:multiLevelType w:val="multilevel"/>
    <w:tmpl w:val="6C74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8865AB8"/>
    <w:multiLevelType w:val="hybridMultilevel"/>
    <w:tmpl w:val="F7F6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5B2609D0"/>
    <w:multiLevelType w:val="multilevel"/>
    <w:tmpl w:val="40044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85D025D"/>
    <w:multiLevelType w:val="hybridMultilevel"/>
    <w:tmpl w:val="CCA8E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DE07BDF"/>
    <w:multiLevelType w:val="multilevel"/>
    <w:tmpl w:val="BF689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4F2F78"/>
    <w:multiLevelType w:val="multilevel"/>
    <w:tmpl w:val="90E65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D01166"/>
    <w:multiLevelType w:val="multilevel"/>
    <w:tmpl w:val="52F84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B23783"/>
    <w:multiLevelType w:val="multilevel"/>
    <w:tmpl w:val="CE54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5590812">
    <w:abstractNumId w:val="59"/>
  </w:num>
  <w:num w:numId="2" w16cid:durableId="201406552">
    <w:abstractNumId w:val="29"/>
  </w:num>
  <w:num w:numId="3" w16cid:durableId="1007940">
    <w:abstractNumId w:val="53"/>
  </w:num>
  <w:num w:numId="4" w16cid:durableId="1369716962">
    <w:abstractNumId w:val="12"/>
  </w:num>
  <w:num w:numId="5" w16cid:durableId="1636255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4"/>
  </w:num>
  <w:num w:numId="19" w16cid:durableId="23750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4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5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5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97581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094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86103">
    <w:abstractNumId w:val="34"/>
    <w:lvlOverride w:ilvl="0"/>
    <w:lvlOverride w:ilvl="1"/>
    <w:lvlOverride w:ilvl="2"/>
    <w:lvlOverride w:ilvl="3"/>
    <w:lvlOverride w:ilvl="4"/>
    <w:lvlOverride w:ilvl="5"/>
    <w:lvlOverride w:ilvl="6"/>
    <w:lvlOverride w:ilvl="7"/>
    <w:lvlOverride w:ilvl="8"/>
  </w:num>
  <w:num w:numId="48" w16cid:durableId="951403020">
    <w:abstractNumId w:val="7"/>
    <w:lvlOverride w:ilvl="0"/>
    <w:lvlOverride w:ilvl="1"/>
    <w:lvlOverride w:ilvl="2"/>
    <w:lvlOverride w:ilvl="3"/>
    <w:lvlOverride w:ilvl="4"/>
    <w:lvlOverride w:ilvl="5"/>
    <w:lvlOverride w:ilvl="6"/>
    <w:lvlOverride w:ilvl="7"/>
    <w:lvlOverride w:ilvl="8"/>
  </w:num>
  <w:num w:numId="49" w16cid:durableId="738554096">
    <w:abstractNumId w:val="13"/>
    <w:lvlOverride w:ilvl="0"/>
    <w:lvlOverride w:ilvl="1"/>
    <w:lvlOverride w:ilvl="2"/>
    <w:lvlOverride w:ilvl="3"/>
    <w:lvlOverride w:ilvl="4"/>
    <w:lvlOverride w:ilvl="5"/>
    <w:lvlOverride w:ilvl="6"/>
    <w:lvlOverride w:ilvl="7"/>
    <w:lvlOverride w:ilvl="8"/>
  </w:num>
  <w:num w:numId="50" w16cid:durableId="1523395716">
    <w:abstractNumId w:val="46"/>
    <w:lvlOverride w:ilvl="0"/>
    <w:lvlOverride w:ilvl="1"/>
    <w:lvlOverride w:ilvl="2"/>
    <w:lvlOverride w:ilvl="3"/>
    <w:lvlOverride w:ilvl="4"/>
    <w:lvlOverride w:ilvl="5"/>
    <w:lvlOverride w:ilvl="6"/>
    <w:lvlOverride w:ilvl="7"/>
    <w:lvlOverride w:ilvl="8"/>
  </w:num>
  <w:num w:numId="51" w16cid:durableId="946234513">
    <w:abstractNumId w:val="14"/>
    <w:lvlOverride w:ilvl="0"/>
    <w:lvlOverride w:ilvl="1"/>
    <w:lvlOverride w:ilvl="2"/>
    <w:lvlOverride w:ilvl="3"/>
    <w:lvlOverride w:ilvl="4"/>
    <w:lvlOverride w:ilvl="5"/>
    <w:lvlOverride w:ilvl="6"/>
    <w:lvlOverride w:ilvl="7"/>
    <w:lvlOverride w:ilvl="8"/>
  </w:num>
  <w:num w:numId="52" w16cid:durableId="940186822">
    <w:abstractNumId w:val="15"/>
    <w:lvlOverride w:ilvl="0"/>
    <w:lvlOverride w:ilvl="1"/>
    <w:lvlOverride w:ilvl="2"/>
    <w:lvlOverride w:ilvl="3"/>
    <w:lvlOverride w:ilvl="4"/>
    <w:lvlOverride w:ilvl="5"/>
    <w:lvlOverride w:ilvl="6"/>
    <w:lvlOverride w:ilvl="7"/>
    <w:lvlOverride w:ilvl="8"/>
  </w:num>
  <w:num w:numId="53" w16cid:durableId="361825703">
    <w:abstractNumId w:val="32"/>
    <w:lvlOverride w:ilvl="0"/>
    <w:lvlOverride w:ilvl="1"/>
    <w:lvlOverride w:ilvl="2"/>
    <w:lvlOverride w:ilvl="3"/>
    <w:lvlOverride w:ilvl="4"/>
    <w:lvlOverride w:ilvl="5"/>
    <w:lvlOverride w:ilvl="6"/>
    <w:lvlOverride w:ilvl="7"/>
    <w:lvlOverride w:ilvl="8"/>
  </w:num>
  <w:num w:numId="54" w16cid:durableId="102309926">
    <w:abstractNumId w:val="1"/>
    <w:lvlOverride w:ilvl="0"/>
    <w:lvlOverride w:ilvl="1"/>
    <w:lvlOverride w:ilvl="2"/>
    <w:lvlOverride w:ilvl="3"/>
    <w:lvlOverride w:ilvl="4"/>
    <w:lvlOverride w:ilvl="5"/>
    <w:lvlOverride w:ilvl="6"/>
    <w:lvlOverride w:ilvl="7"/>
    <w:lvlOverride w:ilvl="8"/>
  </w:num>
  <w:num w:numId="55" w16cid:durableId="751397287">
    <w:abstractNumId w:val="30"/>
    <w:lvlOverride w:ilvl="0"/>
    <w:lvlOverride w:ilvl="1"/>
    <w:lvlOverride w:ilvl="2"/>
    <w:lvlOverride w:ilvl="3"/>
    <w:lvlOverride w:ilvl="4"/>
    <w:lvlOverride w:ilvl="5"/>
    <w:lvlOverride w:ilvl="6"/>
    <w:lvlOverride w:ilvl="7"/>
    <w:lvlOverride w:ilvl="8"/>
  </w:num>
  <w:num w:numId="56" w16cid:durableId="2076465464">
    <w:abstractNumId w:val="55"/>
    <w:lvlOverride w:ilvl="0"/>
    <w:lvlOverride w:ilvl="1"/>
    <w:lvlOverride w:ilvl="2"/>
    <w:lvlOverride w:ilvl="3"/>
    <w:lvlOverride w:ilvl="4"/>
    <w:lvlOverride w:ilvl="5"/>
    <w:lvlOverride w:ilvl="6"/>
    <w:lvlOverride w:ilvl="7"/>
    <w:lvlOverride w:ilvl="8"/>
  </w:num>
  <w:num w:numId="57" w16cid:durableId="1582325134">
    <w:abstractNumId w:val="43"/>
    <w:lvlOverride w:ilvl="0"/>
    <w:lvlOverride w:ilvl="1"/>
    <w:lvlOverride w:ilvl="2"/>
    <w:lvlOverride w:ilvl="3"/>
    <w:lvlOverride w:ilvl="4"/>
    <w:lvlOverride w:ilvl="5"/>
    <w:lvlOverride w:ilvl="6"/>
    <w:lvlOverride w:ilvl="7"/>
    <w:lvlOverride w:ilvl="8"/>
  </w:num>
  <w:num w:numId="58" w16cid:durableId="2092651341">
    <w:abstractNumId w:val="52"/>
    <w:lvlOverride w:ilvl="0"/>
    <w:lvlOverride w:ilvl="1"/>
    <w:lvlOverride w:ilvl="2"/>
    <w:lvlOverride w:ilvl="3"/>
    <w:lvlOverride w:ilvl="4"/>
    <w:lvlOverride w:ilvl="5"/>
    <w:lvlOverride w:ilvl="6"/>
    <w:lvlOverride w:ilvl="7"/>
    <w:lvlOverride w:ilvl="8"/>
  </w:num>
  <w:num w:numId="59" w16cid:durableId="591089828">
    <w:abstractNumId w:val="33"/>
    <w:lvlOverride w:ilvl="0"/>
    <w:lvlOverride w:ilvl="1"/>
    <w:lvlOverride w:ilvl="2"/>
    <w:lvlOverride w:ilvl="3"/>
    <w:lvlOverride w:ilvl="4"/>
    <w:lvlOverride w:ilvl="5"/>
    <w:lvlOverride w:ilvl="6"/>
    <w:lvlOverride w:ilvl="7"/>
    <w:lvlOverride w:ilvl="8"/>
  </w:num>
  <w:num w:numId="60" w16cid:durableId="857811774">
    <w:abstractNumId w:val="60"/>
    <w:lvlOverride w:ilvl="0"/>
    <w:lvlOverride w:ilvl="1"/>
    <w:lvlOverride w:ilvl="2"/>
    <w:lvlOverride w:ilvl="3"/>
    <w:lvlOverride w:ilvl="4"/>
    <w:lvlOverride w:ilvl="5"/>
    <w:lvlOverride w:ilvl="6"/>
    <w:lvlOverride w:ilvl="7"/>
    <w:lvlOverride w:ilvl="8"/>
  </w:num>
  <w:num w:numId="61" w16cid:durableId="494344603">
    <w:abstractNumId w:val="61"/>
    <w:lvlOverride w:ilvl="0"/>
    <w:lvlOverride w:ilvl="1"/>
    <w:lvlOverride w:ilvl="2"/>
    <w:lvlOverride w:ilvl="3"/>
    <w:lvlOverride w:ilvl="4"/>
    <w:lvlOverride w:ilvl="5"/>
    <w:lvlOverride w:ilvl="6"/>
    <w:lvlOverride w:ilvl="7"/>
    <w:lvlOverride w:ilvl="8"/>
  </w:num>
  <w:num w:numId="62" w16cid:durableId="677314725">
    <w:abstractNumId w:val="4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53A2F"/>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47C48"/>
    <w:rsid w:val="0037141D"/>
    <w:rsid w:val="003C6BC7"/>
    <w:rsid w:val="003D103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BF2263"/>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B642A"/>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59A7"/>
    <w:rsid w:val="00ED7097"/>
    <w:rsid w:val="00F04052"/>
    <w:rsid w:val="00F05A8C"/>
    <w:rsid w:val="00F07CFB"/>
    <w:rsid w:val="00F30FB5"/>
    <w:rsid w:val="00F46729"/>
    <w:rsid w:val="00F506EF"/>
    <w:rsid w:val="00F51852"/>
    <w:rsid w:val="00F53242"/>
    <w:rsid w:val="00F63D63"/>
    <w:rsid w:val="00F81812"/>
    <w:rsid w:val="00F90913"/>
    <w:rsid w:val="00F964A5"/>
    <w:rsid w:val="00FA67A1"/>
    <w:rsid w:val="00FB38E6"/>
    <w:rsid w:val="00FC0083"/>
    <w:rsid w:val="00FC0757"/>
    <w:rsid w:val="00FC2C15"/>
    <w:rsid w:val="00FC41AA"/>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8326893">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1304077">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05406636">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2099">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data-transparenc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sletter.ico.org.uk/c/1lULiJldYNwfIFlCf3c4BKJd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mbersidefire.gov.uk/about-us/data-transparency" TargetMode="External"/><Relationship Id="rId5" Type="http://schemas.openxmlformats.org/officeDocument/2006/relationships/styles" Target="styles.xml"/><Relationship Id="rId10" Type="http://schemas.openxmlformats.org/officeDocument/2006/relationships/hyperlink" Target="https://humbersidefire.gov.uk/about-us/data-transparency" TargetMode="External"/><Relationship Id="rId4" Type="http://schemas.openxmlformats.org/officeDocument/2006/relationships/numbering" Target="numbering.xml"/><Relationship Id="rId9" Type="http://schemas.openxmlformats.org/officeDocument/2006/relationships/hyperlink" Target="https://humbersidefire.gov.uk/about-us/data-transparen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2026-02-05T14:22:00Z</dcterms:created>
  <dcterms:modified xsi:type="dcterms:W3CDTF">2026-02-05T14:23:00Z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