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5E0C2843"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666B0B">
        <w:rPr>
          <w:rFonts w:ascii="Arial" w:hAnsi="Arial" w:cs="Arial"/>
          <w:b/>
          <w:bCs/>
        </w:rPr>
        <w:t>6</w:t>
      </w:r>
      <w:r w:rsidR="00B47898">
        <w:rPr>
          <w:rFonts w:ascii="Arial" w:hAnsi="Arial" w:cs="Arial"/>
          <w:b/>
          <w:bCs/>
        </w:rPr>
        <w:t>1 Misconduct Cases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B4774C1" w14:textId="77777777" w:rsidR="00484D5B" w:rsidRPr="00484D5B" w:rsidRDefault="00484D5B" w:rsidP="00484D5B">
      <w:pPr>
        <w:spacing w:line="240" w:lineRule="auto"/>
        <w:rPr>
          <w:rFonts w:ascii="Arial" w:hAnsi="Arial" w:cs="Arial"/>
        </w:rPr>
      </w:pPr>
      <w:r w:rsidRPr="00484D5B">
        <w:rPr>
          <w:rFonts w:ascii="Arial" w:hAnsi="Arial" w:cs="Arial"/>
          <w:b/>
          <w:bCs/>
        </w:rPr>
        <w:t>Question 1</w:t>
      </w:r>
      <w:r w:rsidRPr="00484D5B">
        <w:rPr>
          <w:rFonts w:ascii="Arial" w:hAnsi="Arial" w:cs="Arial"/>
        </w:rPr>
        <w:t> - In the last five years, how many misconduct cases has the service dealt with? (Broken down by years 2020-21, 2021-22, 2022-23, 2023-24 and 2024-25, by gender and by type of misconduct i.e. discriminatory behaviour (sexual, racial, etc..) harassment, bullying</w:t>
      </w:r>
    </w:p>
    <w:p w14:paraId="7F57061F" w14:textId="77777777" w:rsidR="00484D5B" w:rsidRPr="00484D5B" w:rsidRDefault="00484D5B" w:rsidP="00484D5B">
      <w:pPr>
        <w:spacing w:line="240" w:lineRule="auto"/>
        <w:rPr>
          <w:rFonts w:ascii="Arial" w:hAnsi="Arial" w:cs="Arial"/>
        </w:rPr>
      </w:pPr>
      <w:r w:rsidRPr="00484D5B">
        <w:rPr>
          <w:rFonts w:ascii="Arial" w:hAnsi="Arial" w:cs="Arial"/>
          <w:b/>
          <w:bCs/>
        </w:rPr>
        <w:t xml:space="preserve">Question 2 </w:t>
      </w:r>
      <w:r w:rsidRPr="00484D5B">
        <w:rPr>
          <w:rFonts w:ascii="Arial" w:hAnsi="Arial" w:cs="Arial"/>
        </w:rPr>
        <w:t>- Of those, how many were categorised as gross misconduct?</w:t>
      </w:r>
    </w:p>
    <w:p w14:paraId="4892D6C3" w14:textId="77777777" w:rsidR="00484D5B" w:rsidRPr="00484D5B" w:rsidRDefault="00484D5B" w:rsidP="00484D5B">
      <w:pPr>
        <w:spacing w:line="240" w:lineRule="auto"/>
        <w:rPr>
          <w:rFonts w:ascii="Arial" w:hAnsi="Arial" w:cs="Arial"/>
        </w:rPr>
      </w:pPr>
      <w:r w:rsidRPr="00484D5B">
        <w:rPr>
          <w:rFonts w:ascii="Arial" w:hAnsi="Arial" w:cs="Arial"/>
          <w:b/>
          <w:bCs/>
        </w:rPr>
        <w:t>Question 3</w:t>
      </w:r>
      <w:r w:rsidRPr="00484D5B">
        <w:rPr>
          <w:rFonts w:ascii="Arial" w:hAnsi="Arial" w:cs="Arial"/>
        </w:rPr>
        <w:t> - Of those, can you provide the outcomes of the cases – e.g. dismissal, written warnings or no case to answer</w:t>
      </w:r>
    </w:p>
    <w:p w14:paraId="4445C849" w14:textId="77777777" w:rsidR="00484D5B" w:rsidRPr="00484D5B" w:rsidRDefault="00484D5B" w:rsidP="00484D5B">
      <w:pPr>
        <w:spacing w:line="240" w:lineRule="auto"/>
        <w:rPr>
          <w:rFonts w:ascii="Arial" w:hAnsi="Arial" w:cs="Arial"/>
        </w:rPr>
      </w:pPr>
      <w:r w:rsidRPr="00484D5B">
        <w:rPr>
          <w:rFonts w:ascii="Arial" w:hAnsi="Arial" w:cs="Arial"/>
          <w:b/>
          <w:bCs/>
        </w:rPr>
        <w:t>Question 4</w:t>
      </w:r>
      <w:r w:rsidRPr="00484D5B">
        <w:rPr>
          <w:rFonts w:ascii="Arial" w:hAnsi="Arial" w:cs="Arial"/>
        </w:rPr>
        <w:t xml:space="preserve"> – of those, how many were awarded compensation?</w:t>
      </w:r>
    </w:p>
    <w:p w14:paraId="12DC8D57" w14:textId="29DA0DE5" w:rsidR="00B74757" w:rsidRPr="00666B0B" w:rsidRDefault="00484D5B" w:rsidP="00FB38E6">
      <w:pPr>
        <w:spacing w:line="240" w:lineRule="auto"/>
        <w:rPr>
          <w:rFonts w:ascii="Arial" w:hAnsi="Arial" w:cs="Arial"/>
        </w:rPr>
      </w:pPr>
      <w:r w:rsidRPr="00484D5B">
        <w:rPr>
          <w:rFonts w:ascii="Arial" w:hAnsi="Arial" w:cs="Arial"/>
          <w:b/>
          <w:bCs/>
        </w:rPr>
        <w:t>Question 5</w:t>
      </w:r>
      <w:r w:rsidRPr="00484D5B">
        <w:rPr>
          <w:rFonts w:ascii="Arial" w:hAnsi="Arial" w:cs="Arial"/>
        </w:rPr>
        <w:t xml:space="preserve"> – How much compensation has been awarded in total?</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27E1C04E" w14:textId="77777777" w:rsidR="005340D3" w:rsidRPr="005340D3" w:rsidRDefault="005340D3" w:rsidP="005340D3">
      <w:pPr>
        <w:pStyle w:val="PlainText"/>
        <w:rPr>
          <w:rFonts w:ascii="Arial" w:hAnsi="Arial" w:cs="Arial"/>
        </w:rPr>
      </w:pPr>
      <w:r w:rsidRPr="005340D3">
        <w:rPr>
          <w:rFonts w:ascii="Arial" w:hAnsi="Arial" w:cs="Arial"/>
        </w:rPr>
        <w:t xml:space="preserve">I can confirm that Humberside Fire and Rescue Service hold this information. </w:t>
      </w:r>
    </w:p>
    <w:p w14:paraId="1A9B387F" w14:textId="77777777" w:rsidR="005340D3" w:rsidRPr="005340D3" w:rsidRDefault="005340D3" w:rsidP="005340D3">
      <w:pPr>
        <w:pStyle w:val="PlainText"/>
        <w:rPr>
          <w:rFonts w:ascii="Arial" w:hAnsi="Arial" w:cs="Arial"/>
        </w:rPr>
      </w:pPr>
      <w:r w:rsidRPr="005340D3">
        <w:rPr>
          <w:rFonts w:ascii="Arial" w:hAnsi="Arial" w:cs="Arial"/>
        </w:rPr>
        <w:t xml:space="preserve">Due to technical reasons, we are only able to access data back to 2022. </w:t>
      </w:r>
    </w:p>
    <w:p w14:paraId="4FD3108A" w14:textId="77777777" w:rsidR="005340D3" w:rsidRPr="005340D3" w:rsidRDefault="005340D3" w:rsidP="005340D3">
      <w:pPr>
        <w:pStyle w:val="PlainText"/>
        <w:rPr>
          <w:rFonts w:ascii="Arial" w:hAnsi="Arial" w:cs="Arial"/>
        </w:rPr>
      </w:pPr>
    </w:p>
    <w:p w14:paraId="6F2E6502" w14:textId="77777777" w:rsidR="005340D3" w:rsidRPr="005340D3" w:rsidRDefault="005340D3" w:rsidP="005340D3">
      <w:pPr>
        <w:pStyle w:val="PlainText"/>
        <w:rPr>
          <w:rFonts w:ascii="Arial" w:hAnsi="Arial" w:cs="Arial"/>
          <w:b/>
          <w:bCs/>
        </w:rPr>
      </w:pPr>
      <w:r w:rsidRPr="005340D3">
        <w:rPr>
          <w:rFonts w:ascii="Arial" w:hAnsi="Arial" w:cs="Arial"/>
          <w:b/>
          <w:bCs/>
        </w:rPr>
        <w:t xml:space="preserve">Question 1 </w:t>
      </w:r>
    </w:p>
    <w:p w14:paraId="61E5E6A0" w14:textId="77777777" w:rsidR="005340D3" w:rsidRPr="005340D3" w:rsidRDefault="005340D3" w:rsidP="005340D3">
      <w:pPr>
        <w:pStyle w:val="PlainText"/>
        <w:rPr>
          <w:rFonts w:ascii="Arial" w:hAnsi="Arial" w:cs="Arial"/>
        </w:rPr>
      </w:pPr>
      <w:r w:rsidRPr="005340D3">
        <w:rPr>
          <w:rFonts w:ascii="Arial" w:hAnsi="Arial" w:cs="Arial"/>
        </w:rPr>
        <w:t>2022-23</w:t>
      </w:r>
    </w:p>
    <w:p w14:paraId="4BCD6D5A" w14:textId="77777777" w:rsidR="005340D3" w:rsidRPr="005340D3" w:rsidRDefault="005340D3" w:rsidP="005340D3">
      <w:pPr>
        <w:pStyle w:val="PlainText"/>
        <w:rPr>
          <w:rFonts w:ascii="Arial" w:hAnsi="Arial" w:cs="Arial"/>
        </w:rPr>
      </w:pPr>
      <w:r w:rsidRPr="005340D3">
        <w:rPr>
          <w:rFonts w:ascii="Arial" w:hAnsi="Arial" w:cs="Arial"/>
        </w:rPr>
        <w:t xml:space="preserve">18 total </w:t>
      </w:r>
    </w:p>
    <w:p w14:paraId="22E8FEBF" w14:textId="77777777" w:rsidR="005340D3" w:rsidRPr="005340D3" w:rsidRDefault="005340D3" w:rsidP="005340D3">
      <w:pPr>
        <w:pStyle w:val="PlainText"/>
        <w:rPr>
          <w:rFonts w:ascii="Arial" w:hAnsi="Arial" w:cs="Arial"/>
        </w:rPr>
      </w:pPr>
      <w:r w:rsidRPr="005340D3">
        <w:rPr>
          <w:rFonts w:ascii="Arial" w:hAnsi="Arial" w:cs="Arial"/>
        </w:rPr>
        <w:t>We are unable to disclose the breakdown by males and females as the number of females is too low to disclose as this is likely to identify the individuals concerned and is therefore deemed personal data which is exempt under Section 40(2) of the Freedom of Information Act 2000. Personal data is information that relates to an identified or identifiable individual. Please see further information on Section 40(2) below.</w:t>
      </w:r>
    </w:p>
    <w:p w14:paraId="5F81B230" w14:textId="77777777" w:rsidR="005340D3" w:rsidRPr="005340D3" w:rsidRDefault="005340D3" w:rsidP="005340D3">
      <w:pPr>
        <w:pStyle w:val="PlainText"/>
        <w:rPr>
          <w:rFonts w:ascii="Arial" w:hAnsi="Arial" w:cs="Arial"/>
        </w:rPr>
      </w:pPr>
      <w:r w:rsidRPr="005340D3">
        <w:rPr>
          <w:rFonts w:ascii="Arial" w:hAnsi="Arial" w:cs="Arial"/>
        </w:rPr>
        <w:t>Reasons included:</w:t>
      </w:r>
    </w:p>
    <w:p w14:paraId="0D9DBC40" w14:textId="77777777" w:rsidR="005340D3" w:rsidRPr="005340D3" w:rsidRDefault="005340D3" w:rsidP="005340D3">
      <w:pPr>
        <w:pStyle w:val="PlainText"/>
        <w:numPr>
          <w:ilvl w:val="0"/>
          <w:numId w:val="18"/>
        </w:numPr>
        <w:rPr>
          <w:rFonts w:ascii="Arial" w:hAnsi="Arial" w:cs="Arial"/>
          <w:b/>
          <w:bCs/>
        </w:rPr>
      </w:pPr>
      <w:r w:rsidRPr="005340D3">
        <w:rPr>
          <w:rFonts w:ascii="Arial" w:hAnsi="Arial" w:cs="Arial"/>
        </w:rPr>
        <w:t>Conduct and Behaviour</w:t>
      </w:r>
    </w:p>
    <w:p w14:paraId="774B8A6F" w14:textId="77777777" w:rsidR="005340D3" w:rsidRPr="005340D3" w:rsidRDefault="005340D3" w:rsidP="005340D3">
      <w:pPr>
        <w:pStyle w:val="PlainText"/>
        <w:numPr>
          <w:ilvl w:val="0"/>
          <w:numId w:val="18"/>
        </w:numPr>
        <w:rPr>
          <w:rFonts w:ascii="Arial" w:hAnsi="Arial" w:cs="Arial"/>
        </w:rPr>
      </w:pPr>
      <w:r w:rsidRPr="005340D3">
        <w:rPr>
          <w:rFonts w:ascii="Arial" w:hAnsi="Arial" w:cs="Arial"/>
        </w:rPr>
        <w:t>Criminal charges</w:t>
      </w:r>
    </w:p>
    <w:p w14:paraId="280AC474" w14:textId="77777777" w:rsidR="005340D3" w:rsidRPr="005340D3" w:rsidRDefault="005340D3" w:rsidP="005340D3">
      <w:pPr>
        <w:pStyle w:val="PlainText"/>
        <w:numPr>
          <w:ilvl w:val="0"/>
          <w:numId w:val="18"/>
        </w:numPr>
        <w:rPr>
          <w:rFonts w:ascii="Arial" w:hAnsi="Arial" w:cs="Arial"/>
          <w:b/>
          <w:bCs/>
        </w:rPr>
      </w:pPr>
      <w:r w:rsidRPr="005340D3">
        <w:rPr>
          <w:rFonts w:ascii="Arial" w:hAnsi="Arial" w:cs="Arial"/>
        </w:rPr>
        <w:t>Social Media Use</w:t>
      </w:r>
    </w:p>
    <w:p w14:paraId="401F60FF" w14:textId="77777777" w:rsidR="005340D3" w:rsidRPr="005340D3" w:rsidRDefault="005340D3" w:rsidP="005340D3">
      <w:pPr>
        <w:pStyle w:val="PlainText"/>
        <w:numPr>
          <w:ilvl w:val="0"/>
          <w:numId w:val="18"/>
        </w:numPr>
        <w:rPr>
          <w:rFonts w:ascii="Arial" w:hAnsi="Arial" w:cs="Arial"/>
          <w:b/>
          <w:bCs/>
        </w:rPr>
      </w:pPr>
      <w:r w:rsidRPr="005340D3">
        <w:rPr>
          <w:rFonts w:ascii="Arial" w:hAnsi="Arial" w:cs="Arial"/>
        </w:rPr>
        <w:t>Other</w:t>
      </w:r>
    </w:p>
    <w:p w14:paraId="0ED8DBB9" w14:textId="77777777" w:rsidR="005340D3" w:rsidRPr="005340D3" w:rsidRDefault="005340D3" w:rsidP="005340D3">
      <w:pPr>
        <w:pStyle w:val="PlainText"/>
        <w:rPr>
          <w:rFonts w:ascii="Arial" w:hAnsi="Arial" w:cs="Arial"/>
          <w:b/>
          <w:bCs/>
        </w:rPr>
      </w:pPr>
    </w:p>
    <w:p w14:paraId="30720DD1" w14:textId="77777777" w:rsidR="005340D3" w:rsidRPr="005340D3" w:rsidRDefault="005340D3" w:rsidP="005340D3">
      <w:pPr>
        <w:pStyle w:val="PlainText"/>
        <w:rPr>
          <w:rFonts w:ascii="Arial" w:hAnsi="Arial" w:cs="Arial"/>
        </w:rPr>
      </w:pPr>
      <w:r w:rsidRPr="005340D3">
        <w:rPr>
          <w:rFonts w:ascii="Arial" w:hAnsi="Arial" w:cs="Arial"/>
        </w:rPr>
        <w:t>2023-24</w:t>
      </w:r>
    </w:p>
    <w:p w14:paraId="2288DAF4" w14:textId="77777777" w:rsidR="005340D3" w:rsidRPr="005340D3" w:rsidRDefault="005340D3" w:rsidP="005340D3">
      <w:pPr>
        <w:pStyle w:val="PlainText"/>
        <w:rPr>
          <w:rFonts w:ascii="Arial" w:hAnsi="Arial" w:cs="Arial"/>
        </w:rPr>
      </w:pPr>
      <w:r w:rsidRPr="005340D3">
        <w:rPr>
          <w:rFonts w:ascii="Arial" w:hAnsi="Arial" w:cs="Arial"/>
        </w:rPr>
        <w:t xml:space="preserve">74 total </w:t>
      </w:r>
    </w:p>
    <w:p w14:paraId="774475D0" w14:textId="77777777" w:rsidR="005340D3" w:rsidRPr="005340D3" w:rsidRDefault="005340D3" w:rsidP="005340D3">
      <w:pPr>
        <w:pStyle w:val="PlainText"/>
        <w:rPr>
          <w:rFonts w:ascii="Arial" w:hAnsi="Arial" w:cs="Arial"/>
        </w:rPr>
      </w:pPr>
      <w:r w:rsidRPr="005340D3">
        <w:rPr>
          <w:rFonts w:ascii="Arial" w:hAnsi="Arial" w:cs="Arial"/>
        </w:rPr>
        <w:t>We are unable to disclose the breakdown by males and females as the number of females is too low to disclose as this is likely to identify the individuals concerned and is therefore deemed personal data which is exempt under Section 40(2) of the Freedom of Information Act 2000. Personal data is information that relates to an identified or identifiable individual. Please see further information on Section 40(2) below.</w:t>
      </w:r>
    </w:p>
    <w:p w14:paraId="1868AF17" w14:textId="77777777" w:rsidR="005340D3" w:rsidRPr="005340D3" w:rsidRDefault="005340D3" w:rsidP="005340D3">
      <w:pPr>
        <w:pStyle w:val="PlainText"/>
        <w:rPr>
          <w:rFonts w:ascii="Arial" w:hAnsi="Arial" w:cs="Arial"/>
        </w:rPr>
      </w:pPr>
      <w:r w:rsidRPr="005340D3">
        <w:rPr>
          <w:rFonts w:ascii="Arial" w:hAnsi="Arial" w:cs="Arial"/>
        </w:rPr>
        <w:t>Reasons included:</w:t>
      </w:r>
    </w:p>
    <w:p w14:paraId="0311C905" w14:textId="77777777" w:rsidR="005340D3" w:rsidRPr="005340D3" w:rsidRDefault="005340D3" w:rsidP="005340D3">
      <w:pPr>
        <w:pStyle w:val="PlainText"/>
        <w:numPr>
          <w:ilvl w:val="0"/>
          <w:numId w:val="19"/>
        </w:numPr>
        <w:rPr>
          <w:rFonts w:ascii="Arial" w:hAnsi="Arial" w:cs="Arial"/>
        </w:rPr>
      </w:pPr>
      <w:r w:rsidRPr="005340D3">
        <w:rPr>
          <w:rFonts w:ascii="Arial" w:hAnsi="Arial" w:cs="Arial"/>
        </w:rPr>
        <w:t>Breach of Service Policy</w:t>
      </w:r>
    </w:p>
    <w:p w14:paraId="5C59791D" w14:textId="77777777" w:rsidR="005340D3" w:rsidRPr="005340D3" w:rsidRDefault="005340D3" w:rsidP="005340D3">
      <w:pPr>
        <w:pStyle w:val="PlainText"/>
        <w:numPr>
          <w:ilvl w:val="0"/>
          <w:numId w:val="19"/>
        </w:numPr>
        <w:rPr>
          <w:rFonts w:ascii="Arial" w:hAnsi="Arial" w:cs="Arial"/>
        </w:rPr>
      </w:pPr>
      <w:r w:rsidRPr="005340D3">
        <w:rPr>
          <w:rFonts w:ascii="Arial" w:hAnsi="Arial" w:cs="Arial"/>
        </w:rPr>
        <w:t>Bullying and Harassment</w:t>
      </w:r>
    </w:p>
    <w:p w14:paraId="6F88457F" w14:textId="77777777" w:rsidR="005340D3" w:rsidRPr="005340D3" w:rsidRDefault="005340D3" w:rsidP="005340D3">
      <w:pPr>
        <w:pStyle w:val="PlainText"/>
        <w:numPr>
          <w:ilvl w:val="0"/>
          <w:numId w:val="19"/>
        </w:numPr>
        <w:rPr>
          <w:rFonts w:ascii="Arial" w:hAnsi="Arial" w:cs="Arial"/>
        </w:rPr>
      </w:pPr>
      <w:r w:rsidRPr="005340D3">
        <w:rPr>
          <w:rFonts w:ascii="Arial" w:hAnsi="Arial" w:cs="Arial"/>
        </w:rPr>
        <w:t>Conduct and Behaviour</w:t>
      </w:r>
    </w:p>
    <w:p w14:paraId="59DF028F" w14:textId="77777777" w:rsidR="005340D3" w:rsidRPr="005340D3" w:rsidRDefault="005340D3" w:rsidP="005340D3">
      <w:pPr>
        <w:pStyle w:val="PlainText"/>
        <w:numPr>
          <w:ilvl w:val="0"/>
          <w:numId w:val="19"/>
        </w:numPr>
        <w:rPr>
          <w:rFonts w:ascii="Arial" w:hAnsi="Arial" w:cs="Arial"/>
        </w:rPr>
      </w:pPr>
      <w:r w:rsidRPr="005340D3">
        <w:rPr>
          <w:rFonts w:ascii="Arial" w:hAnsi="Arial" w:cs="Arial"/>
        </w:rPr>
        <w:t>Criminal Charges</w:t>
      </w:r>
    </w:p>
    <w:p w14:paraId="5B7217AA" w14:textId="77777777" w:rsidR="005340D3" w:rsidRPr="005340D3" w:rsidRDefault="005340D3" w:rsidP="005340D3">
      <w:pPr>
        <w:pStyle w:val="PlainText"/>
        <w:numPr>
          <w:ilvl w:val="0"/>
          <w:numId w:val="19"/>
        </w:numPr>
        <w:rPr>
          <w:rFonts w:ascii="Arial" w:hAnsi="Arial" w:cs="Arial"/>
        </w:rPr>
      </w:pPr>
      <w:r w:rsidRPr="005340D3">
        <w:rPr>
          <w:rFonts w:ascii="Arial" w:hAnsi="Arial" w:cs="Arial"/>
        </w:rPr>
        <w:t>Failure to Follow Procedure</w:t>
      </w:r>
    </w:p>
    <w:p w14:paraId="4302CE4B" w14:textId="77777777" w:rsidR="005340D3" w:rsidRPr="005340D3" w:rsidRDefault="005340D3" w:rsidP="005340D3">
      <w:pPr>
        <w:pStyle w:val="PlainText"/>
        <w:numPr>
          <w:ilvl w:val="0"/>
          <w:numId w:val="19"/>
        </w:numPr>
        <w:rPr>
          <w:rFonts w:ascii="Arial" w:hAnsi="Arial" w:cs="Arial"/>
        </w:rPr>
      </w:pPr>
      <w:r w:rsidRPr="005340D3">
        <w:rPr>
          <w:rFonts w:ascii="Arial" w:hAnsi="Arial" w:cs="Arial"/>
        </w:rPr>
        <w:t>Other</w:t>
      </w:r>
    </w:p>
    <w:p w14:paraId="5DB0DE8C" w14:textId="77777777" w:rsidR="005340D3" w:rsidRPr="005340D3" w:rsidRDefault="005340D3" w:rsidP="005340D3">
      <w:pPr>
        <w:pStyle w:val="PlainText"/>
        <w:rPr>
          <w:rFonts w:ascii="Arial" w:hAnsi="Arial" w:cs="Arial"/>
        </w:rPr>
      </w:pPr>
    </w:p>
    <w:p w14:paraId="65568FC0" w14:textId="77777777" w:rsidR="005340D3" w:rsidRPr="005340D3" w:rsidRDefault="005340D3" w:rsidP="005340D3">
      <w:pPr>
        <w:pStyle w:val="PlainText"/>
        <w:rPr>
          <w:rFonts w:ascii="Arial" w:hAnsi="Arial" w:cs="Arial"/>
        </w:rPr>
      </w:pPr>
      <w:r w:rsidRPr="005340D3">
        <w:rPr>
          <w:rFonts w:ascii="Arial" w:hAnsi="Arial" w:cs="Arial"/>
        </w:rPr>
        <w:t>2024-25</w:t>
      </w:r>
    </w:p>
    <w:p w14:paraId="44D5B25C" w14:textId="77777777" w:rsidR="005340D3" w:rsidRPr="005340D3" w:rsidRDefault="005340D3" w:rsidP="005340D3">
      <w:pPr>
        <w:pStyle w:val="PlainText"/>
        <w:rPr>
          <w:rFonts w:ascii="Arial" w:hAnsi="Arial" w:cs="Arial"/>
        </w:rPr>
      </w:pPr>
      <w:r w:rsidRPr="005340D3">
        <w:rPr>
          <w:rFonts w:ascii="Arial" w:hAnsi="Arial" w:cs="Arial"/>
        </w:rPr>
        <w:t xml:space="preserve">16 total </w:t>
      </w:r>
    </w:p>
    <w:p w14:paraId="552845B1" w14:textId="77777777" w:rsidR="005340D3" w:rsidRPr="005340D3" w:rsidRDefault="005340D3" w:rsidP="005340D3">
      <w:pPr>
        <w:pStyle w:val="PlainText"/>
        <w:rPr>
          <w:rFonts w:ascii="Arial" w:hAnsi="Arial" w:cs="Arial"/>
        </w:rPr>
      </w:pPr>
      <w:r w:rsidRPr="005340D3">
        <w:rPr>
          <w:rFonts w:ascii="Arial" w:hAnsi="Arial" w:cs="Arial"/>
        </w:rPr>
        <w:lastRenderedPageBreak/>
        <w:t>We are unable to disclose the breakdown by males and females as the number of females is too low to disclose as this is likely to identify the individuals concerned and is therefore deemed personal data which is exempt under Section 40(2) of the Freedom of Information Act 2000. Personal data is information that relates to an identified or identifiable individual. Please see further information on Section 40(2) below.</w:t>
      </w:r>
    </w:p>
    <w:p w14:paraId="05068214" w14:textId="77777777" w:rsidR="005340D3" w:rsidRPr="005340D3" w:rsidRDefault="005340D3" w:rsidP="005340D3">
      <w:pPr>
        <w:pStyle w:val="PlainText"/>
        <w:rPr>
          <w:rFonts w:ascii="Arial" w:hAnsi="Arial" w:cs="Arial"/>
        </w:rPr>
      </w:pPr>
      <w:r w:rsidRPr="005340D3">
        <w:rPr>
          <w:rFonts w:ascii="Arial" w:hAnsi="Arial" w:cs="Arial"/>
        </w:rPr>
        <w:t>Reasons included:</w:t>
      </w:r>
    </w:p>
    <w:p w14:paraId="65B8E685" w14:textId="77777777" w:rsidR="005340D3" w:rsidRPr="005340D3" w:rsidRDefault="005340D3" w:rsidP="005340D3">
      <w:pPr>
        <w:pStyle w:val="PlainText"/>
        <w:rPr>
          <w:rFonts w:ascii="Arial" w:hAnsi="Arial" w:cs="Arial"/>
        </w:rPr>
      </w:pPr>
      <w:r w:rsidRPr="005340D3">
        <w:rPr>
          <w:rFonts w:ascii="Arial" w:hAnsi="Arial" w:cs="Arial"/>
        </w:rPr>
        <w:t>•             Bullying and Harassment</w:t>
      </w:r>
    </w:p>
    <w:p w14:paraId="0170716F" w14:textId="77777777" w:rsidR="005340D3" w:rsidRPr="005340D3" w:rsidRDefault="005340D3" w:rsidP="005340D3">
      <w:pPr>
        <w:pStyle w:val="PlainText"/>
        <w:rPr>
          <w:rFonts w:ascii="Arial" w:hAnsi="Arial" w:cs="Arial"/>
        </w:rPr>
      </w:pPr>
      <w:r w:rsidRPr="005340D3">
        <w:rPr>
          <w:rFonts w:ascii="Arial" w:hAnsi="Arial" w:cs="Arial"/>
        </w:rPr>
        <w:t>•             Conduct and Behaviour</w:t>
      </w:r>
    </w:p>
    <w:p w14:paraId="51BC5F21" w14:textId="77777777" w:rsidR="005340D3" w:rsidRPr="005340D3" w:rsidRDefault="005340D3" w:rsidP="005340D3">
      <w:pPr>
        <w:pStyle w:val="PlainText"/>
        <w:rPr>
          <w:rFonts w:ascii="Arial" w:hAnsi="Arial" w:cs="Arial"/>
        </w:rPr>
      </w:pPr>
      <w:r w:rsidRPr="005340D3">
        <w:rPr>
          <w:rFonts w:ascii="Arial" w:hAnsi="Arial" w:cs="Arial"/>
        </w:rPr>
        <w:t>•             Criminal Charges</w:t>
      </w:r>
    </w:p>
    <w:p w14:paraId="429A4A7C" w14:textId="77777777" w:rsidR="005340D3" w:rsidRPr="005340D3" w:rsidRDefault="005340D3" w:rsidP="005340D3">
      <w:pPr>
        <w:pStyle w:val="PlainText"/>
        <w:rPr>
          <w:rFonts w:ascii="Arial" w:hAnsi="Arial" w:cs="Arial"/>
        </w:rPr>
      </w:pPr>
      <w:r w:rsidRPr="005340D3">
        <w:rPr>
          <w:rFonts w:ascii="Arial" w:hAnsi="Arial" w:cs="Arial"/>
        </w:rPr>
        <w:t>•             Drugs and Alcohol</w:t>
      </w:r>
    </w:p>
    <w:p w14:paraId="34283FA7" w14:textId="77777777" w:rsidR="005340D3" w:rsidRPr="005340D3" w:rsidRDefault="005340D3" w:rsidP="005340D3">
      <w:pPr>
        <w:pStyle w:val="PlainText"/>
        <w:rPr>
          <w:rFonts w:ascii="Arial" w:hAnsi="Arial" w:cs="Arial"/>
        </w:rPr>
      </w:pPr>
    </w:p>
    <w:p w14:paraId="071EC3E3" w14:textId="77777777" w:rsidR="005340D3" w:rsidRPr="005340D3" w:rsidRDefault="005340D3" w:rsidP="005340D3">
      <w:pPr>
        <w:pStyle w:val="PlainText"/>
        <w:rPr>
          <w:rFonts w:ascii="Arial" w:hAnsi="Arial" w:cs="Arial"/>
          <w:b/>
          <w:bCs/>
        </w:rPr>
      </w:pPr>
      <w:r w:rsidRPr="005340D3">
        <w:rPr>
          <w:rFonts w:ascii="Arial" w:hAnsi="Arial" w:cs="Arial"/>
          <w:b/>
          <w:bCs/>
        </w:rPr>
        <w:t xml:space="preserve">Question 2 </w:t>
      </w:r>
    </w:p>
    <w:p w14:paraId="424D8341" w14:textId="77777777" w:rsidR="005340D3" w:rsidRPr="005340D3" w:rsidRDefault="005340D3" w:rsidP="005340D3">
      <w:pPr>
        <w:pStyle w:val="PlainText"/>
        <w:rPr>
          <w:rFonts w:ascii="Arial" w:hAnsi="Arial" w:cs="Arial"/>
        </w:rPr>
      </w:pPr>
    </w:p>
    <w:p w14:paraId="32B11966" w14:textId="77777777" w:rsidR="005340D3" w:rsidRPr="005340D3" w:rsidRDefault="005340D3" w:rsidP="005340D3">
      <w:pPr>
        <w:pStyle w:val="PlainText"/>
        <w:rPr>
          <w:rFonts w:ascii="Arial" w:hAnsi="Arial" w:cs="Arial"/>
        </w:rPr>
      </w:pPr>
      <w:r w:rsidRPr="005340D3">
        <w:rPr>
          <w:rFonts w:ascii="Arial" w:hAnsi="Arial" w:cs="Arial"/>
        </w:rPr>
        <w:t>2022-23 – 13</w:t>
      </w:r>
    </w:p>
    <w:p w14:paraId="4F282E27" w14:textId="77777777" w:rsidR="005340D3" w:rsidRPr="005340D3" w:rsidRDefault="005340D3" w:rsidP="005340D3">
      <w:pPr>
        <w:pStyle w:val="PlainText"/>
        <w:rPr>
          <w:rFonts w:ascii="Arial" w:hAnsi="Arial" w:cs="Arial"/>
        </w:rPr>
      </w:pPr>
      <w:r w:rsidRPr="005340D3">
        <w:rPr>
          <w:rFonts w:ascii="Arial" w:hAnsi="Arial" w:cs="Arial"/>
        </w:rPr>
        <w:t>2023-24 – 15</w:t>
      </w:r>
    </w:p>
    <w:p w14:paraId="537F6EAD" w14:textId="77777777" w:rsidR="005340D3" w:rsidRPr="005340D3" w:rsidRDefault="005340D3" w:rsidP="005340D3">
      <w:pPr>
        <w:pStyle w:val="PlainText"/>
        <w:rPr>
          <w:rFonts w:ascii="Arial" w:hAnsi="Arial" w:cs="Arial"/>
        </w:rPr>
      </w:pPr>
      <w:r w:rsidRPr="005340D3">
        <w:rPr>
          <w:rFonts w:ascii="Arial" w:hAnsi="Arial" w:cs="Arial"/>
        </w:rPr>
        <w:t>2024-25 – 15</w:t>
      </w:r>
    </w:p>
    <w:p w14:paraId="5AC5BAE3" w14:textId="77777777" w:rsidR="005340D3" w:rsidRPr="005340D3" w:rsidRDefault="005340D3" w:rsidP="005340D3">
      <w:pPr>
        <w:pStyle w:val="PlainText"/>
        <w:rPr>
          <w:rFonts w:ascii="Arial" w:hAnsi="Arial" w:cs="Arial"/>
        </w:rPr>
      </w:pPr>
    </w:p>
    <w:p w14:paraId="6E9F80B6" w14:textId="77777777" w:rsidR="005340D3" w:rsidRPr="005340D3" w:rsidRDefault="005340D3" w:rsidP="005340D3">
      <w:pPr>
        <w:pStyle w:val="PlainText"/>
        <w:rPr>
          <w:rFonts w:ascii="Arial" w:hAnsi="Arial" w:cs="Arial"/>
          <w:b/>
          <w:bCs/>
        </w:rPr>
      </w:pPr>
      <w:r w:rsidRPr="005340D3">
        <w:rPr>
          <w:rFonts w:ascii="Arial" w:hAnsi="Arial" w:cs="Arial"/>
          <w:b/>
          <w:bCs/>
        </w:rPr>
        <w:t>Question 3 </w:t>
      </w:r>
    </w:p>
    <w:p w14:paraId="7819B5AF" w14:textId="77777777" w:rsidR="005340D3" w:rsidRPr="005340D3" w:rsidRDefault="005340D3" w:rsidP="005340D3">
      <w:pPr>
        <w:pStyle w:val="PlainText"/>
        <w:rPr>
          <w:rFonts w:ascii="Arial" w:hAnsi="Arial" w:cs="Arial"/>
        </w:rPr>
      </w:pPr>
    </w:p>
    <w:p w14:paraId="0D5BE640" w14:textId="77777777" w:rsidR="005340D3" w:rsidRPr="005340D3" w:rsidRDefault="005340D3" w:rsidP="005340D3">
      <w:pPr>
        <w:pStyle w:val="PlainText"/>
        <w:rPr>
          <w:rFonts w:ascii="Arial" w:hAnsi="Arial" w:cs="Arial"/>
        </w:rPr>
      </w:pPr>
      <w:r w:rsidRPr="005340D3">
        <w:rPr>
          <w:rFonts w:ascii="Arial" w:hAnsi="Arial" w:cs="Arial"/>
        </w:rPr>
        <w:t>2022-23 – 13</w:t>
      </w:r>
    </w:p>
    <w:p w14:paraId="199CD97A" w14:textId="77777777" w:rsidR="005340D3" w:rsidRPr="005340D3" w:rsidRDefault="005340D3" w:rsidP="005340D3">
      <w:pPr>
        <w:pStyle w:val="PlainText"/>
        <w:rPr>
          <w:rFonts w:ascii="Arial" w:hAnsi="Arial" w:cs="Arial"/>
        </w:rPr>
      </w:pPr>
      <w:r w:rsidRPr="005340D3">
        <w:rPr>
          <w:rFonts w:ascii="Arial" w:hAnsi="Arial" w:cs="Arial"/>
        </w:rPr>
        <w:t>No case to answer – 3</w:t>
      </w:r>
    </w:p>
    <w:p w14:paraId="314FE7F3" w14:textId="77777777" w:rsidR="005340D3" w:rsidRPr="005340D3" w:rsidRDefault="005340D3" w:rsidP="005340D3">
      <w:pPr>
        <w:pStyle w:val="PlainText"/>
        <w:rPr>
          <w:rFonts w:ascii="Arial" w:hAnsi="Arial" w:cs="Arial"/>
        </w:rPr>
      </w:pPr>
      <w:r w:rsidRPr="005340D3">
        <w:rPr>
          <w:rFonts w:ascii="Arial" w:hAnsi="Arial" w:cs="Arial"/>
        </w:rPr>
        <w:t>Case to answer – 10</w:t>
      </w:r>
    </w:p>
    <w:p w14:paraId="61822BD1" w14:textId="77777777" w:rsidR="005340D3" w:rsidRPr="005340D3" w:rsidRDefault="005340D3" w:rsidP="005340D3">
      <w:pPr>
        <w:pStyle w:val="PlainText"/>
        <w:rPr>
          <w:rFonts w:ascii="Arial" w:hAnsi="Arial" w:cs="Arial"/>
        </w:rPr>
      </w:pPr>
    </w:p>
    <w:p w14:paraId="59D7E942" w14:textId="77777777" w:rsidR="005340D3" w:rsidRPr="005340D3" w:rsidRDefault="005340D3" w:rsidP="005340D3">
      <w:pPr>
        <w:pStyle w:val="PlainText"/>
        <w:rPr>
          <w:rFonts w:ascii="Arial" w:hAnsi="Arial" w:cs="Arial"/>
        </w:rPr>
      </w:pPr>
      <w:r w:rsidRPr="005340D3">
        <w:rPr>
          <w:rFonts w:ascii="Arial" w:hAnsi="Arial" w:cs="Arial"/>
        </w:rPr>
        <w:t>2023-24 – 15</w:t>
      </w:r>
    </w:p>
    <w:p w14:paraId="4B1C7E3D" w14:textId="77777777" w:rsidR="005340D3" w:rsidRPr="005340D3" w:rsidRDefault="005340D3" w:rsidP="005340D3">
      <w:pPr>
        <w:pStyle w:val="PlainText"/>
        <w:rPr>
          <w:rFonts w:ascii="Arial" w:hAnsi="Arial" w:cs="Arial"/>
        </w:rPr>
      </w:pPr>
      <w:r w:rsidRPr="005340D3">
        <w:rPr>
          <w:rFonts w:ascii="Arial" w:hAnsi="Arial" w:cs="Arial"/>
        </w:rPr>
        <w:t>No case to answer – 2</w:t>
      </w:r>
    </w:p>
    <w:p w14:paraId="1F23CE44" w14:textId="77777777" w:rsidR="005340D3" w:rsidRPr="005340D3" w:rsidRDefault="005340D3" w:rsidP="005340D3">
      <w:pPr>
        <w:pStyle w:val="PlainText"/>
        <w:rPr>
          <w:rFonts w:ascii="Arial" w:hAnsi="Arial" w:cs="Arial"/>
        </w:rPr>
      </w:pPr>
      <w:r w:rsidRPr="005340D3">
        <w:rPr>
          <w:rFonts w:ascii="Arial" w:hAnsi="Arial" w:cs="Arial"/>
        </w:rPr>
        <w:t>Case to answer - 13</w:t>
      </w:r>
    </w:p>
    <w:p w14:paraId="3BACD3F4" w14:textId="77777777" w:rsidR="005340D3" w:rsidRPr="005340D3" w:rsidRDefault="005340D3" w:rsidP="005340D3">
      <w:pPr>
        <w:pStyle w:val="PlainText"/>
        <w:rPr>
          <w:rFonts w:ascii="Arial" w:hAnsi="Arial" w:cs="Arial"/>
        </w:rPr>
      </w:pPr>
    </w:p>
    <w:p w14:paraId="704C1BE4" w14:textId="77777777" w:rsidR="005340D3" w:rsidRPr="005340D3" w:rsidRDefault="005340D3" w:rsidP="005340D3">
      <w:pPr>
        <w:pStyle w:val="PlainText"/>
        <w:rPr>
          <w:rFonts w:ascii="Arial" w:hAnsi="Arial" w:cs="Arial"/>
        </w:rPr>
      </w:pPr>
      <w:r w:rsidRPr="005340D3">
        <w:rPr>
          <w:rFonts w:ascii="Arial" w:hAnsi="Arial" w:cs="Arial"/>
        </w:rPr>
        <w:t>2024-25 – 15</w:t>
      </w:r>
    </w:p>
    <w:p w14:paraId="32D6FB61" w14:textId="77777777" w:rsidR="005340D3" w:rsidRPr="005340D3" w:rsidRDefault="005340D3" w:rsidP="005340D3">
      <w:pPr>
        <w:pStyle w:val="PlainText"/>
        <w:rPr>
          <w:rFonts w:ascii="Arial" w:hAnsi="Arial" w:cs="Arial"/>
        </w:rPr>
      </w:pPr>
      <w:r w:rsidRPr="005340D3">
        <w:rPr>
          <w:rFonts w:ascii="Arial" w:hAnsi="Arial" w:cs="Arial"/>
        </w:rPr>
        <w:t>No case to answer – 3</w:t>
      </w:r>
    </w:p>
    <w:p w14:paraId="7C769452" w14:textId="77777777" w:rsidR="005340D3" w:rsidRPr="005340D3" w:rsidRDefault="005340D3" w:rsidP="005340D3">
      <w:pPr>
        <w:pStyle w:val="PlainText"/>
        <w:rPr>
          <w:rFonts w:ascii="Arial" w:hAnsi="Arial" w:cs="Arial"/>
        </w:rPr>
      </w:pPr>
      <w:r w:rsidRPr="005340D3">
        <w:rPr>
          <w:rFonts w:ascii="Arial" w:hAnsi="Arial" w:cs="Arial"/>
        </w:rPr>
        <w:t>Case to answer – 12</w:t>
      </w:r>
    </w:p>
    <w:p w14:paraId="6C25170E" w14:textId="77777777" w:rsidR="005340D3" w:rsidRPr="005340D3" w:rsidRDefault="005340D3" w:rsidP="005340D3">
      <w:pPr>
        <w:pStyle w:val="PlainText"/>
        <w:rPr>
          <w:rFonts w:ascii="Arial" w:hAnsi="Arial" w:cs="Arial"/>
        </w:rPr>
      </w:pPr>
    </w:p>
    <w:p w14:paraId="65F26B4B" w14:textId="77777777" w:rsidR="005340D3" w:rsidRPr="005340D3" w:rsidRDefault="005340D3" w:rsidP="005340D3">
      <w:pPr>
        <w:pStyle w:val="PlainText"/>
        <w:rPr>
          <w:rFonts w:ascii="Arial" w:hAnsi="Arial" w:cs="Arial"/>
        </w:rPr>
      </w:pPr>
      <w:r w:rsidRPr="005340D3">
        <w:rPr>
          <w:rFonts w:ascii="Arial" w:hAnsi="Arial" w:cs="Arial"/>
          <w:b/>
          <w:bCs/>
        </w:rPr>
        <w:t>Question 4</w:t>
      </w:r>
      <w:r w:rsidRPr="005340D3">
        <w:rPr>
          <w:rFonts w:ascii="Arial" w:hAnsi="Arial" w:cs="Arial"/>
        </w:rPr>
        <w:t xml:space="preserve"> – of those, how many were awarded compensation? 0</w:t>
      </w:r>
    </w:p>
    <w:p w14:paraId="200B1C27" w14:textId="77777777" w:rsidR="005340D3" w:rsidRPr="005340D3" w:rsidRDefault="005340D3" w:rsidP="005340D3">
      <w:pPr>
        <w:pStyle w:val="PlainText"/>
        <w:rPr>
          <w:rFonts w:ascii="Arial" w:hAnsi="Arial" w:cs="Arial"/>
        </w:rPr>
      </w:pPr>
      <w:r w:rsidRPr="005340D3">
        <w:rPr>
          <w:rFonts w:ascii="Arial" w:hAnsi="Arial" w:cs="Arial"/>
          <w:b/>
          <w:bCs/>
        </w:rPr>
        <w:t>Question 5</w:t>
      </w:r>
      <w:r w:rsidRPr="005340D3">
        <w:rPr>
          <w:rFonts w:ascii="Arial" w:hAnsi="Arial" w:cs="Arial"/>
        </w:rPr>
        <w:t xml:space="preserve"> – How much compensation has been awarded in total? £0</w:t>
      </w:r>
    </w:p>
    <w:p w14:paraId="6543B9F7" w14:textId="77777777" w:rsidR="005340D3" w:rsidRPr="005340D3" w:rsidRDefault="005340D3" w:rsidP="005340D3">
      <w:pPr>
        <w:pStyle w:val="PlainText"/>
        <w:rPr>
          <w:rFonts w:ascii="Arial" w:hAnsi="Arial" w:cs="Arial"/>
        </w:rPr>
      </w:pPr>
    </w:p>
    <w:p w14:paraId="7242229A" w14:textId="77777777" w:rsidR="005340D3" w:rsidRPr="005340D3" w:rsidRDefault="005340D3" w:rsidP="005340D3">
      <w:pPr>
        <w:pStyle w:val="PlainText"/>
        <w:rPr>
          <w:rFonts w:ascii="Arial" w:hAnsi="Arial" w:cs="Arial"/>
        </w:rPr>
      </w:pPr>
      <w:r w:rsidRPr="005340D3">
        <w:rPr>
          <w:rFonts w:ascii="Arial" w:hAnsi="Arial" w:cs="Arial"/>
          <w:b/>
          <w:bCs/>
        </w:rPr>
        <w:t>Section 40 of FOIA:</w:t>
      </w:r>
    </w:p>
    <w:p w14:paraId="6E366108" w14:textId="77777777" w:rsidR="005340D3" w:rsidRPr="005340D3" w:rsidRDefault="005340D3" w:rsidP="005340D3">
      <w:pPr>
        <w:pStyle w:val="PlainText"/>
        <w:rPr>
          <w:rFonts w:ascii="Arial" w:hAnsi="Arial" w:cs="Arial"/>
        </w:rPr>
      </w:pPr>
      <w:r w:rsidRPr="005340D3">
        <w:rPr>
          <w:rFonts w:ascii="Arial" w:hAnsi="Arial" w:cs="Arial"/>
        </w:rPr>
        <w:t>(2) Any information to which a request for information relates is also exempt information if—</w:t>
      </w:r>
    </w:p>
    <w:p w14:paraId="3735701C" w14:textId="77777777" w:rsidR="005340D3" w:rsidRPr="005340D3" w:rsidRDefault="005340D3" w:rsidP="005340D3">
      <w:pPr>
        <w:pStyle w:val="PlainText"/>
        <w:numPr>
          <w:ilvl w:val="0"/>
          <w:numId w:val="20"/>
        </w:numPr>
        <w:rPr>
          <w:rFonts w:ascii="Arial" w:hAnsi="Arial" w:cs="Arial"/>
        </w:rPr>
      </w:pPr>
      <w:r w:rsidRPr="005340D3">
        <w:rPr>
          <w:rFonts w:ascii="Arial" w:hAnsi="Arial" w:cs="Arial"/>
        </w:rPr>
        <w:t>it constitutes personal data which does not fall within subsection (1), and</w:t>
      </w:r>
    </w:p>
    <w:p w14:paraId="181AB3EC" w14:textId="77777777" w:rsidR="005340D3" w:rsidRPr="005340D3" w:rsidRDefault="005340D3" w:rsidP="005340D3">
      <w:pPr>
        <w:pStyle w:val="PlainText"/>
        <w:numPr>
          <w:ilvl w:val="0"/>
          <w:numId w:val="20"/>
        </w:numPr>
        <w:rPr>
          <w:rFonts w:ascii="Arial" w:hAnsi="Arial" w:cs="Arial"/>
        </w:rPr>
      </w:pPr>
      <w:r w:rsidRPr="005340D3">
        <w:rPr>
          <w:rFonts w:ascii="Arial" w:hAnsi="Arial" w:cs="Arial"/>
        </w:rPr>
        <w:t>the first condition below is satisfied.</w:t>
      </w:r>
    </w:p>
    <w:p w14:paraId="53751EBA" w14:textId="77777777" w:rsidR="005340D3" w:rsidRPr="005340D3" w:rsidRDefault="005340D3" w:rsidP="005340D3">
      <w:pPr>
        <w:pStyle w:val="PlainText"/>
        <w:rPr>
          <w:rFonts w:ascii="Arial" w:hAnsi="Arial" w:cs="Arial"/>
        </w:rPr>
      </w:pPr>
      <w:r w:rsidRPr="005340D3">
        <w:rPr>
          <w:rFonts w:ascii="Arial" w:hAnsi="Arial" w:cs="Arial"/>
        </w:rPr>
        <w:t>(3A) The first condition is that the disclosure of the information to a member of the public otherwise than under this Act—</w:t>
      </w:r>
    </w:p>
    <w:p w14:paraId="4F28B609" w14:textId="77777777" w:rsidR="005340D3" w:rsidRPr="005340D3" w:rsidRDefault="005340D3" w:rsidP="005340D3">
      <w:pPr>
        <w:pStyle w:val="PlainText"/>
        <w:numPr>
          <w:ilvl w:val="0"/>
          <w:numId w:val="21"/>
        </w:numPr>
        <w:rPr>
          <w:rFonts w:ascii="Arial" w:hAnsi="Arial" w:cs="Arial"/>
        </w:rPr>
      </w:pPr>
      <w:r w:rsidRPr="005340D3">
        <w:rPr>
          <w:rFonts w:ascii="Arial" w:hAnsi="Arial" w:cs="Arial"/>
        </w:rPr>
        <w:t>would contravene any of the data protection principles</w:t>
      </w:r>
    </w:p>
    <w:p w14:paraId="67DC69C2" w14:textId="77777777" w:rsidR="005340D3" w:rsidRPr="005340D3" w:rsidRDefault="005340D3" w:rsidP="005340D3">
      <w:pPr>
        <w:pStyle w:val="PlainText"/>
        <w:rPr>
          <w:rFonts w:ascii="Arial" w:hAnsi="Arial" w:cs="Arial"/>
        </w:rPr>
      </w:pPr>
      <w:r w:rsidRPr="005340D3">
        <w:rPr>
          <w:rFonts w:ascii="Arial" w:hAnsi="Arial" w:cs="Arial"/>
        </w:rPr>
        <w:t> </w:t>
      </w:r>
    </w:p>
    <w:p w14:paraId="0DD2264D" w14:textId="77777777" w:rsidR="005340D3" w:rsidRPr="005340D3" w:rsidRDefault="005340D3" w:rsidP="005340D3">
      <w:pPr>
        <w:pStyle w:val="PlainText"/>
        <w:rPr>
          <w:rFonts w:ascii="Arial" w:hAnsi="Arial" w:cs="Arial"/>
        </w:rPr>
      </w:pPr>
      <w:r w:rsidRPr="005340D3">
        <w:rPr>
          <w:rFonts w:ascii="Arial" w:hAnsi="Arial" w:cs="Arial"/>
        </w:rPr>
        <w:t>Section 40(2) is an absolute exemption where if the first condition is satisfied, then a public interest test is not necessary, however, public interest must be considered when judging lawfulness under principle (3A(a)).</w:t>
      </w:r>
    </w:p>
    <w:p w14:paraId="5213FDE3" w14:textId="77777777" w:rsidR="005340D3" w:rsidRPr="005340D3" w:rsidRDefault="005340D3" w:rsidP="005340D3">
      <w:pPr>
        <w:pStyle w:val="PlainText"/>
        <w:rPr>
          <w:rFonts w:ascii="Arial" w:hAnsi="Arial" w:cs="Arial"/>
        </w:rPr>
      </w:pPr>
      <w:r w:rsidRPr="005340D3">
        <w:rPr>
          <w:rFonts w:ascii="Arial" w:hAnsi="Arial" w:cs="Arial"/>
        </w:rPr>
        <w:t>To judge whether disclosure would contravene principle (3A(a)), consideration must be given to whether it is it lawful, fair and transparent. The most relevant lawful basis in this case would be legitimate interest and have therefore considered the public interest on this basis:</w:t>
      </w:r>
    </w:p>
    <w:p w14:paraId="63FFC3DB" w14:textId="77777777" w:rsidR="005340D3" w:rsidRPr="005340D3" w:rsidRDefault="005340D3" w:rsidP="005340D3">
      <w:pPr>
        <w:pStyle w:val="PlainText"/>
        <w:rPr>
          <w:rFonts w:ascii="Arial" w:hAnsi="Arial" w:cs="Arial"/>
        </w:rPr>
      </w:pPr>
      <w:r w:rsidRPr="005340D3">
        <w:rPr>
          <w:rFonts w:ascii="Arial" w:hAnsi="Arial" w:cs="Arial"/>
        </w:rPr>
        <w:t> </w:t>
      </w:r>
    </w:p>
    <w:p w14:paraId="660992F4" w14:textId="77777777" w:rsidR="005340D3" w:rsidRPr="005340D3" w:rsidRDefault="005340D3" w:rsidP="005340D3">
      <w:pPr>
        <w:pStyle w:val="PlainText"/>
        <w:rPr>
          <w:rFonts w:ascii="Arial" w:hAnsi="Arial" w:cs="Arial"/>
        </w:rPr>
      </w:pPr>
      <w:r w:rsidRPr="005340D3">
        <w:rPr>
          <w:rFonts w:ascii="Arial" w:hAnsi="Arial" w:cs="Arial"/>
          <w:b/>
          <w:bCs/>
        </w:rPr>
        <w:t>Public interest in favour of disclosure:</w:t>
      </w:r>
    </w:p>
    <w:p w14:paraId="18579826" w14:textId="77777777" w:rsidR="005340D3" w:rsidRPr="005340D3" w:rsidRDefault="005340D3" w:rsidP="005340D3">
      <w:pPr>
        <w:pStyle w:val="PlainText"/>
        <w:rPr>
          <w:rFonts w:ascii="Arial" w:hAnsi="Arial" w:cs="Arial"/>
        </w:rPr>
      </w:pPr>
      <w:r w:rsidRPr="005340D3">
        <w:rPr>
          <w:rFonts w:ascii="Arial" w:hAnsi="Arial" w:cs="Arial"/>
        </w:rPr>
        <w:t>1. There is a legitimate public interest in the number of individuals who have been involved in misconduct cases.</w:t>
      </w:r>
    </w:p>
    <w:p w14:paraId="7374A6CB" w14:textId="77777777" w:rsidR="005340D3" w:rsidRPr="005340D3" w:rsidRDefault="005340D3" w:rsidP="005340D3">
      <w:pPr>
        <w:pStyle w:val="PlainText"/>
        <w:rPr>
          <w:rFonts w:ascii="Arial" w:hAnsi="Arial" w:cs="Arial"/>
        </w:rPr>
      </w:pPr>
      <w:r w:rsidRPr="005340D3">
        <w:rPr>
          <w:rFonts w:ascii="Arial" w:hAnsi="Arial" w:cs="Arial"/>
        </w:rPr>
        <w:t> </w:t>
      </w:r>
    </w:p>
    <w:p w14:paraId="5D2FB467" w14:textId="77777777" w:rsidR="005340D3" w:rsidRPr="005340D3" w:rsidRDefault="005340D3" w:rsidP="005340D3">
      <w:pPr>
        <w:pStyle w:val="PlainText"/>
        <w:rPr>
          <w:rFonts w:ascii="Arial" w:hAnsi="Arial" w:cs="Arial"/>
        </w:rPr>
      </w:pPr>
      <w:r w:rsidRPr="005340D3">
        <w:rPr>
          <w:rFonts w:ascii="Arial" w:hAnsi="Arial" w:cs="Arial"/>
          <w:b/>
          <w:bCs/>
        </w:rPr>
        <w:t>Public Interest in favour of withholding:</w:t>
      </w:r>
    </w:p>
    <w:p w14:paraId="0A28BA99" w14:textId="77777777" w:rsidR="005340D3" w:rsidRPr="005340D3" w:rsidRDefault="005340D3" w:rsidP="005340D3">
      <w:pPr>
        <w:pStyle w:val="PlainText"/>
        <w:numPr>
          <w:ilvl w:val="0"/>
          <w:numId w:val="22"/>
        </w:numPr>
        <w:rPr>
          <w:rFonts w:ascii="Arial" w:hAnsi="Arial" w:cs="Arial"/>
        </w:rPr>
      </w:pPr>
      <w:r w:rsidRPr="005340D3">
        <w:rPr>
          <w:rFonts w:ascii="Arial" w:hAnsi="Arial" w:cs="Arial"/>
        </w:rPr>
        <w:t>Disclosing small numbers could lead to the identification of individuals, which would be an unwarranted invasion of their personal privacy. </w:t>
      </w:r>
    </w:p>
    <w:p w14:paraId="578B37A1" w14:textId="77777777" w:rsidR="005340D3" w:rsidRPr="005340D3" w:rsidRDefault="005340D3" w:rsidP="005340D3">
      <w:pPr>
        <w:pStyle w:val="PlainText"/>
        <w:numPr>
          <w:ilvl w:val="0"/>
          <w:numId w:val="22"/>
        </w:numPr>
        <w:rPr>
          <w:rFonts w:ascii="Arial" w:hAnsi="Arial" w:cs="Arial"/>
        </w:rPr>
      </w:pPr>
      <w:r w:rsidRPr="005340D3">
        <w:rPr>
          <w:rFonts w:ascii="Arial" w:hAnsi="Arial" w:cs="Arial"/>
        </w:rPr>
        <w:lastRenderedPageBreak/>
        <w:t>Identifying of individuals through the disclosure could expose them to harm, distress, or discrimination. </w:t>
      </w:r>
    </w:p>
    <w:p w14:paraId="12E1F03C" w14:textId="77777777" w:rsidR="005340D3" w:rsidRPr="005340D3" w:rsidRDefault="005340D3" w:rsidP="005340D3">
      <w:pPr>
        <w:pStyle w:val="PlainText"/>
        <w:numPr>
          <w:ilvl w:val="0"/>
          <w:numId w:val="22"/>
        </w:numPr>
        <w:rPr>
          <w:rFonts w:ascii="Arial" w:hAnsi="Arial" w:cs="Arial"/>
        </w:rPr>
      </w:pPr>
      <w:r w:rsidRPr="005340D3">
        <w:rPr>
          <w:rFonts w:ascii="Arial" w:hAnsi="Arial" w:cs="Arial"/>
        </w:rPr>
        <w:t>Ensuring that personal data is protected helps maintain public trust in public authorities and encourages individuals to engage and provide accurate meaningful information to the organisation.</w:t>
      </w:r>
    </w:p>
    <w:p w14:paraId="00C9F1FC" w14:textId="77777777" w:rsidR="005340D3" w:rsidRPr="005340D3" w:rsidRDefault="005340D3" w:rsidP="005340D3">
      <w:pPr>
        <w:pStyle w:val="PlainText"/>
        <w:rPr>
          <w:rFonts w:ascii="Arial" w:hAnsi="Arial" w:cs="Arial"/>
        </w:rPr>
      </w:pPr>
      <w:r w:rsidRPr="005340D3">
        <w:rPr>
          <w:rFonts w:ascii="Arial" w:hAnsi="Arial" w:cs="Arial"/>
          <w:b/>
          <w:bCs/>
        </w:rPr>
        <w:t> </w:t>
      </w:r>
    </w:p>
    <w:p w14:paraId="5E550F43" w14:textId="77777777" w:rsidR="005340D3" w:rsidRPr="005340D3" w:rsidRDefault="005340D3" w:rsidP="005340D3">
      <w:pPr>
        <w:pStyle w:val="PlainText"/>
        <w:rPr>
          <w:rFonts w:ascii="Arial" w:hAnsi="Arial" w:cs="Arial"/>
        </w:rPr>
      </w:pPr>
      <w:r w:rsidRPr="005340D3">
        <w:rPr>
          <w:rFonts w:ascii="Arial" w:hAnsi="Arial" w:cs="Arial"/>
        </w:rPr>
        <w:t>We then considered whether disclosure is necessary to meet the legitimate interest.</w:t>
      </w:r>
    </w:p>
    <w:p w14:paraId="00375875" w14:textId="77777777" w:rsidR="005340D3" w:rsidRPr="005340D3" w:rsidRDefault="005340D3" w:rsidP="005340D3">
      <w:pPr>
        <w:pStyle w:val="PlainText"/>
        <w:rPr>
          <w:rFonts w:ascii="Arial" w:hAnsi="Arial" w:cs="Arial"/>
        </w:rPr>
      </w:pPr>
      <w:r w:rsidRPr="005340D3">
        <w:rPr>
          <w:rFonts w:ascii="Arial" w:hAnsi="Arial" w:cs="Arial"/>
        </w:rPr>
        <w:t>We believe there is a legitimate interest for the requester in the information withheld, however, do not believe that detailed numbers are required to meet this interest.</w:t>
      </w:r>
    </w:p>
    <w:p w14:paraId="66493AA5" w14:textId="77777777" w:rsidR="005340D3" w:rsidRPr="005340D3" w:rsidRDefault="005340D3" w:rsidP="005340D3">
      <w:pPr>
        <w:pStyle w:val="PlainText"/>
        <w:rPr>
          <w:rFonts w:ascii="Arial" w:hAnsi="Arial" w:cs="Arial"/>
        </w:rPr>
      </w:pPr>
      <w:r w:rsidRPr="005340D3">
        <w:rPr>
          <w:rFonts w:ascii="Arial" w:hAnsi="Arial" w:cs="Arial"/>
        </w:rPr>
        <w:t> </w:t>
      </w:r>
    </w:p>
    <w:p w14:paraId="225BCA59" w14:textId="77777777" w:rsidR="005340D3" w:rsidRPr="005340D3" w:rsidRDefault="005340D3" w:rsidP="005340D3">
      <w:pPr>
        <w:pStyle w:val="PlainText"/>
        <w:rPr>
          <w:rFonts w:ascii="Arial" w:hAnsi="Arial" w:cs="Arial"/>
        </w:rPr>
      </w:pPr>
      <w:r w:rsidRPr="005340D3">
        <w:rPr>
          <w:rFonts w:ascii="Arial" w:hAnsi="Arial" w:cs="Arial"/>
          <w:b/>
          <w:bCs/>
        </w:rPr>
        <w:t>Balancing Test:</w:t>
      </w:r>
    </w:p>
    <w:p w14:paraId="366E8A9B" w14:textId="77777777" w:rsidR="005340D3" w:rsidRPr="005340D3" w:rsidRDefault="005340D3" w:rsidP="005340D3">
      <w:pPr>
        <w:pStyle w:val="PlainText"/>
        <w:rPr>
          <w:rFonts w:ascii="Arial" w:hAnsi="Arial" w:cs="Arial"/>
        </w:rPr>
      </w:pPr>
      <w:r w:rsidRPr="005340D3">
        <w:rPr>
          <w:rFonts w:ascii="Arial" w:hAnsi="Arial" w:cs="Arial"/>
        </w:rPr>
        <w:t>It is necessary to balance the factors above whilst maintaining transparency and privacy. Withholding the number of individuals who been involved in misconduct cases would not wholly satisfy the request, however, would satisfy the wider legitimate interest, and disclosure of the detailed information is likely to cause harm to the individuals concerned as outlined above in the public interest reasoning. It is our belief that the legitimate interest does not outweigh the interests and rights of the individuals who have a right to personal privacy.</w:t>
      </w:r>
    </w:p>
    <w:p w14:paraId="49C820B8" w14:textId="77777777" w:rsidR="005340D3" w:rsidRPr="005340D3" w:rsidRDefault="005340D3" w:rsidP="005340D3">
      <w:pPr>
        <w:pStyle w:val="PlainText"/>
        <w:rPr>
          <w:rFonts w:ascii="Arial" w:hAnsi="Arial" w:cs="Arial"/>
        </w:rPr>
      </w:pPr>
      <w:r w:rsidRPr="005340D3">
        <w:rPr>
          <w:rFonts w:ascii="Arial" w:hAnsi="Arial" w:cs="Arial"/>
        </w:rPr>
        <w:t> </w:t>
      </w:r>
    </w:p>
    <w:p w14:paraId="11066CFF" w14:textId="0BA18FB4" w:rsidR="00BE10BA" w:rsidRDefault="005340D3" w:rsidP="00467A03">
      <w:pPr>
        <w:pStyle w:val="PlainText"/>
        <w:rPr>
          <w:rFonts w:ascii="Arial" w:hAnsi="Arial" w:cs="Arial"/>
        </w:rPr>
      </w:pPr>
      <w:r w:rsidRPr="005340D3">
        <w:rPr>
          <w:rFonts w:ascii="Arial" w:hAnsi="Arial" w:cs="Arial"/>
        </w:rPr>
        <w:t>On balance, the public interest in withholding the requested information outweighs the public interest in disclosure and the information requested is exempt under Section 40(2) Personal Information of the Freedom of Information Act.</w:t>
      </w: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F3877"/>
    <w:multiLevelType w:val="multilevel"/>
    <w:tmpl w:val="FACE44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E30761"/>
    <w:multiLevelType w:val="multilevel"/>
    <w:tmpl w:val="6964B8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0E25C9"/>
    <w:multiLevelType w:val="hybridMultilevel"/>
    <w:tmpl w:val="B300B0A2"/>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0"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705C44"/>
    <w:multiLevelType w:val="multilevel"/>
    <w:tmpl w:val="D9866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16A62FC"/>
    <w:multiLevelType w:val="hybridMultilevel"/>
    <w:tmpl w:val="5EC05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5"/>
  </w:num>
  <w:num w:numId="17" w16cid:durableId="10167336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8388480">
    <w:abstractNumId w:val="18"/>
    <w:lvlOverride w:ilvl="0"/>
    <w:lvlOverride w:ilvl="1"/>
    <w:lvlOverride w:ilvl="2"/>
    <w:lvlOverride w:ilvl="3"/>
    <w:lvlOverride w:ilvl="4"/>
    <w:lvlOverride w:ilvl="5"/>
    <w:lvlOverride w:ilvl="6"/>
    <w:lvlOverride w:ilvl="7"/>
    <w:lvlOverride w:ilvl="8"/>
  </w:num>
  <w:num w:numId="19" w16cid:durableId="294066623">
    <w:abstractNumId w:val="9"/>
    <w:lvlOverride w:ilvl="0"/>
    <w:lvlOverride w:ilvl="1"/>
    <w:lvlOverride w:ilvl="2"/>
    <w:lvlOverride w:ilvl="3"/>
    <w:lvlOverride w:ilvl="4"/>
    <w:lvlOverride w:ilvl="5"/>
    <w:lvlOverride w:ilvl="6"/>
    <w:lvlOverride w:ilvl="7"/>
    <w:lvlOverride w:ilvl="8"/>
  </w:num>
  <w:num w:numId="20" w16cid:durableId="1244267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830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2526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080C"/>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D5B"/>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340D3"/>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01DB"/>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47898"/>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2025-09-22T09:45:00Z</dcterms:created>
  <dcterms:modified xsi:type="dcterms:W3CDTF">2025-09-22T09:47:00Z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